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720"/>
        <w:jc w:val="center"/>
        <w:rPr>
          <w:rFonts w:hAnsi="华文中宋" w:eastAsia="华文中宋"/>
          <w:bCs/>
          <w:sz w:val="36"/>
          <w:szCs w:val="36"/>
        </w:rPr>
      </w:pPr>
    </w:p>
    <w:p>
      <w:pPr>
        <w:ind w:firstLine="720"/>
        <w:jc w:val="center"/>
        <w:rPr>
          <w:rFonts w:hAnsi="华文中宋" w:eastAsia="华文中宋"/>
          <w:bCs/>
          <w:sz w:val="36"/>
          <w:szCs w:val="36"/>
        </w:rPr>
      </w:pPr>
    </w:p>
    <w:p>
      <w:pPr>
        <w:ind w:firstLine="720"/>
        <w:jc w:val="center"/>
        <w:rPr>
          <w:rFonts w:hAnsi="华文中宋" w:eastAsia="华文中宋"/>
          <w:bCs/>
          <w:sz w:val="36"/>
          <w:szCs w:val="36"/>
        </w:rPr>
      </w:pPr>
    </w:p>
    <w:p>
      <w:pPr>
        <w:spacing w:line="500" w:lineRule="exact"/>
        <w:ind w:left="0" w:leftChars="0" w:firstLine="0" w:firstLineChars="0"/>
        <w:jc w:val="center"/>
        <w:rPr>
          <w:rFonts w:hint="eastAsia" w:ascii="宋体" w:hAnsi="宋体"/>
          <w:b/>
          <w:sz w:val="44"/>
          <w:szCs w:val="44"/>
        </w:rPr>
      </w:pPr>
      <w:r>
        <w:rPr>
          <w:rFonts w:hint="eastAsia" w:ascii="宋体" w:hAnsi="宋体"/>
          <w:b/>
          <w:sz w:val="44"/>
          <w:szCs w:val="44"/>
          <w:lang w:val="en-US" w:eastAsia="zh-CN"/>
        </w:rPr>
        <w:t>东博</w:t>
      </w:r>
      <w:r>
        <w:rPr>
          <w:rFonts w:hint="eastAsia" w:ascii="宋体" w:hAnsi="宋体"/>
          <w:b/>
          <w:sz w:val="44"/>
          <w:szCs w:val="44"/>
        </w:rPr>
        <w:t>煤矿自然发火</w:t>
      </w:r>
    </w:p>
    <w:p>
      <w:pPr>
        <w:spacing w:line="500" w:lineRule="exact"/>
        <w:ind w:left="0" w:leftChars="0" w:firstLine="0" w:firstLineChars="0"/>
        <w:jc w:val="center"/>
        <w:rPr>
          <w:rFonts w:hint="eastAsia" w:ascii="宋体" w:hAnsi="宋体"/>
          <w:b/>
          <w:sz w:val="44"/>
          <w:szCs w:val="44"/>
        </w:rPr>
      </w:pPr>
      <w:r>
        <w:rPr>
          <w:rFonts w:hint="eastAsia" w:ascii="宋体" w:hAnsi="宋体"/>
          <w:b/>
          <w:sz w:val="44"/>
          <w:szCs w:val="44"/>
        </w:rPr>
        <w:t>束管微色谱监测系统</w:t>
      </w:r>
    </w:p>
    <w:p>
      <w:pPr>
        <w:pStyle w:val="2"/>
        <w:rPr>
          <w:rFonts w:hint="eastAsia" w:ascii="宋体" w:hAnsi="宋体"/>
          <w:b/>
          <w:sz w:val="44"/>
          <w:szCs w:val="44"/>
        </w:rPr>
      </w:pPr>
    </w:p>
    <w:p>
      <w:pPr>
        <w:pStyle w:val="2"/>
        <w:rPr>
          <w:rFonts w:hint="eastAsia" w:ascii="宋体" w:hAnsi="宋体"/>
          <w:b/>
          <w:sz w:val="44"/>
          <w:szCs w:val="44"/>
        </w:rPr>
      </w:pPr>
    </w:p>
    <w:p>
      <w:pPr>
        <w:pStyle w:val="2"/>
        <w:rPr>
          <w:rFonts w:hint="eastAsia" w:ascii="宋体" w:hAnsi="宋体"/>
          <w:b/>
          <w:sz w:val="44"/>
          <w:szCs w:val="44"/>
        </w:rPr>
      </w:pPr>
    </w:p>
    <w:p>
      <w:pPr>
        <w:pStyle w:val="2"/>
        <w:rPr>
          <w:rFonts w:hint="eastAsia" w:ascii="宋体" w:hAnsi="宋体"/>
          <w:b/>
          <w:sz w:val="44"/>
          <w:szCs w:val="44"/>
        </w:rPr>
      </w:pPr>
    </w:p>
    <w:p>
      <w:pPr>
        <w:spacing w:line="500" w:lineRule="exact"/>
        <w:ind w:left="0" w:leftChars="0" w:firstLine="0" w:firstLineChars="0"/>
        <w:jc w:val="center"/>
        <w:rPr>
          <w:rFonts w:ascii="宋体" w:hAnsi="宋体"/>
          <w:b/>
          <w:sz w:val="44"/>
          <w:szCs w:val="44"/>
        </w:rPr>
      </w:pPr>
      <w:r>
        <w:rPr>
          <w:rFonts w:ascii="宋体" w:hAnsi="宋体"/>
          <w:b/>
          <w:sz w:val="44"/>
          <w:szCs w:val="44"/>
        </w:rPr>
        <w:t>技术规格书</w:t>
      </w:r>
    </w:p>
    <w:p>
      <w:pPr>
        <w:spacing w:line="500" w:lineRule="exact"/>
        <w:ind w:firstLine="2766" w:firstLineChars="628"/>
        <w:rPr>
          <w:rFonts w:eastAsia="华文中宋"/>
          <w:b/>
          <w:sz w:val="44"/>
          <w:szCs w:val="44"/>
        </w:rPr>
      </w:pPr>
    </w:p>
    <w:p>
      <w:pPr>
        <w:spacing w:line="500" w:lineRule="exact"/>
        <w:ind w:firstLine="721"/>
        <w:rPr>
          <w:rFonts w:eastAsia="华文中宋"/>
          <w:b/>
          <w:sz w:val="36"/>
          <w:szCs w:val="36"/>
        </w:rPr>
      </w:pPr>
    </w:p>
    <w:p>
      <w:pPr>
        <w:pStyle w:val="5"/>
        <w:ind w:firstLine="643"/>
        <w:rPr>
          <w:rFonts w:hint="eastAsia"/>
        </w:rPr>
      </w:pPr>
    </w:p>
    <w:p>
      <w:pPr>
        <w:pStyle w:val="5"/>
        <w:ind w:firstLine="643"/>
        <w:rPr>
          <w:rFonts w:hint="eastAsia"/>
        </w:rPr>
      </w:pPr>
    </w:p>
    <w:p>
      <w:pPr>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5"/>
        <w:ind w:left="0" w:leftChars="0" w:firstLine="0" w:firstLineChars="0"/>
        <w:rPr>
          <w:rFonts w:hint="eastAsia"/>
        </w:rPr>
      </w:pPr>
    </w:p>
    <w:p>
      <w:pPr>
        <w:rPr>
          <w:rFonts w:hint="eastAsia"/>
        </w:rPr>
      </w:pPr>
    </w:p>
    <w:p>
      <w:pPr>
        <w:pStyle w:val="2"/>
        <w:rPr>
          <w:rFonts w:hint="eastAsia"/>
        </w:rPr>
      </w:pPr>
    </w:p>
    <w:p>
      <w:pPr>
        <w:pStyle w:val="5"/>
        <w:bidi w:val="0"/>
        <w:jc w:val="center"/>
        <w:rPr>
          <w:rFonts w:hint="eastAsia"/>
        </w:rPr>
      </w:pPr>
      <w:r>
        <w:rPr>
          <w:rFonts w:hint="eastAsia"/>
        </w:rPr>
        <w:t>项目名称、隶属关系</w:t>
      </w:r>
    </w:p>
    <w:p>
      <w:pPr>
        <w:widowControl/>
        <w:spacing w:line="360" w:lineRule="auto"/>
        <w:ind w:firstLine="480" w:firstLineChars="200"/>
        <w:rPr>
          <w:rFonts w:hint="default" w:ascii="宋体" w:hAnsi="宋体" w:eastAsia="宋体"/>
          <w:lang w:val="en-US" w:eastAsia="zh-CN"/>
        </w:rPr>
      </w:pPr>
      <w:r>
        <w:rPr>
          <w:rFonts w:hint="eastAsia" w:ascii="宋体" w:hAnsi="宋体"/>
        </w:rPr>
        <w:t>项目名称：</w:t>
      </w:r>
      <w:r>
        <w:rPr>
          <w:rFonts w:hint="eastAsia" w:ascii="宋体" w:hAnsi="宋体"/>
          <w:spacing w:val="-4"/>
          <w:lang w:val="en-US" w:eastAsia="zh-CN"/>
        </w:rPr>
        <w:t>东博煤矿井下火灾监测系统</w:t>
      </w:r>
    </w:p>
    <w:p>
      <w:pPr>
        <w:spacing w:line="360" w:lineRule="auto"/>
        <w:ind w:firstLine="480" w:firstLineChars="200"/>
        <w:rPr>
          <w:rFonts w:ascii="宋体" w:hAnsi="宋体"/>
        </w:rPr>
      </w:pPr>
      <w:r>
        <w:rPr>
          <w:rFonts w:hint="eastAsia" w:ascii="宋体" w:hAnsi="宋体"/>
        </w:rPr>
        <w:t xml:space="preserve">项目规模： </w:t>
      </w:r>
      <w:r>
        <w:rPr>
          <w:rFonts w:ascii="宋体" w:hAnsi="宋体"/>
        </w:rPr>
        <w:t>1.</w:t>
      </w:r>
      <w:r>
        <w:rPr>
          <w:rFonts w:hint="eastAsia" w:ascii="宋体" w:hAnsi="宋体"/>
          <w:lang w:val="en-US" w:eastAsia="zh-CN"/>
        </w:rPr>
        <w:t>8</w:t>
      </w:r>
      <w:r>
        <w:rPr>
          <w:rFonts w:ascii="宋体" w:hAnsi="宋体"/>
        </w:rPr>
        <w:t>Mt/a</w:t>
      </w:r>
      <w:r>
        <w:rPr>
          <w:rFonts w:hint="eastAsia" w:ascii="宋体" w:hAnsi="宋体"/>
        </w:rPr>
        <w:t>。</w:t>
      </w:r>
    </w:p>
    <w:p>
      <w:pPr>
        <w:spacing w:line="360" w:lineRule="auto"/>
        <w:ind w:firstLine="480" w:firstLineChars="200"/>
        <w:rPr>
          <w:rFonts w:ascii="宋体" w:hAnsi="宋体"/>
        </w:rPr>
      </w:pPr>
      <w:r>
        <w:rPr>
          <w:rFonts w:hint="eastAsia" w:ascii="宋体" w:hAnsi="宋体"/>
        </w:rPr>
        <w:t>隶属关系：</w:t>
      </w:r>
      <w:r>
        <w:rPr>
          <w:rFonts w:ascii="宋体"/>
        </w:rPr>
        <w:t>本项目</w:t>
      </w:r>
      <w:r>
        <w:rPr>
          <w:rFonts w:hint="eastAsia" w:ascii="宋体"/>
          <w:lang w:val="en-US" w:eastAsia="zh-CN"/>
        </w:rPr>
        <w:t>东博煤矿</w:t>
      </w:r>
      <w:r>
        <w:rPr>
          <w:rFonts w:hint="eastAsia" w:ascii="宋体" w:hAnsi="宋体"/>
        </w:rPr>
        <w:t>。</w:t>
      </w:r>
    </w:p>
    <w:p>
      <w:pPr>
        <w:spacing w:line="360" w:lineRule="auto"/>
        <w:ind w:firstLine="480" w:firstLineChars="200"/>
        <w:rPr>
          <w:rFonts w:hint="eastAsia"/>
        </w:rPr>
      </w:pPr>
      <w:r>
        <w:rPr>
          <w:rFonts w:hint="eastAsia" w:ascii="宋体" w:hAnsi="宋体"/>
        </w:rPr>
        <w:t>说明：本技术条件提出的是最低限度的技术条件，并未对一切技术细节进行阐述，也未充分引述有关标准和规范的条文，承办方应保证提供符合技术条件和工业制造标准的优质产品。</w:t>
      </w:r>
    </w:p>
    <w:p>
      <w:pPr>
        <w:pStyle w:val="5"/>
        <w:ind w:firstLine="643"/>
      </w:pPr>
      <w:r>
        <w:rPr>
          <w:rFonts w:hint="eastAsia"/>
        </w:rPr>
        <w:t>一、总则</w:t>
      </w:r>
    </w:p>
    <w:p>
      <w:pPr>
        <w:ind w:firstLine="480"/>
        <w:rPr>
          <w:rFonts w:ascii="宋体" w:hAnsi="宋体" w:cs="宋体"/>
          <w:szCs w:val="24"/>
        </w:rPr>
      </w:pPr>
      <w:r>
        <w:rPr>
          <w:rFonts w:hint="eastAsia" w:ascii="宋体" w:hAnsi="宋体" w:cs="宋体"/>
          <w:szCs w:val="24"/>
        </w:rPr>
        <w:t>1.本技术规格书适用于：煤矿井下火灾</w:t>
      </w:r>
      <w:r>
        <w:rPr>
          <w:rFonts w:hint="eastAsia" w:ascii="宋体" w:hAnsi="宋体" w:cs="宋体"/>
          <w:szCs w:val="24"/>
          <w:lang w:val="en-US" w:eastAsia="zh-CN"/>
        </w:rPr>
        <w:t>束管</w:t>
      </w:r>
      <w:r>
        <w:rPr>
          <w:rFonts w:hint="eastAsia" w:ascii="宋体" w:hAnsi="宋体" w:cs="宋体"/>
          <w:szCs w:val="24"/>
        </w:rPr>
        <w:t>监测系统项目招标内容。</w:t>
      </w:r>
    </w:p>
    <w:p>
      <w:pPr>
        <w:ind w:firstLine="480"/>
        <w:rPr>
          <w:rFonts w:ascii="宋体" w:hAnsi="宋体" w:cs="宋体"/>
          <w:szCs w:val="24"/>
        </w:rPr>
      </w:pPr>
      <w:r>
        <w:rPr>
          <w:rFonts w:hint="eastAsia" w:ascii="宋体" w:hAnsi="宋体" w:cs="宋体"/>
          <w:szCs w:val="24"/>
        </w:rPr>
        <w:t>2.本技规术格书提出的是最低限度的技术要求，并未对一切技术细节作出规定，也未充分引述有关标准和规范的条文，制造方应提供符合本规格书和工业标准的优质产品。</w:t>
      </w:r>
    </w:p>
    <w:p>
      <w:pPr>
        <w:ind w:firstLine="480"/>
        <w:rPr>
          <w:rFonts w:ascii="宋体" w:hAnsi="宋体" w:cs="宋体"/>
          <w:szCs w:val="24"/>
        </w:rPr>
      </w:pPr>
      <w:r>
        <w:rPr>
          <w:rFonts w:hint="eastAsia" w:ascii="宋体" w:hAnsi="宋体" w:cs="宋体"/>
          <w:szCs w:val="24"/>
        </w:rPr>
        <w:t>3.如果制造方没有以书面形式、对本规格书的条文提出异议，则意味着制造方提供的产品完全符合本规格书的要求。</w:t>
      </w:r>
    </w:p>
    <w:p>
      <w:pPr>
        <w:ind w:firstLine="480"/>
        <w:rPr>
          <w:rFonts w:ascii="宋体" w:hAnsi="宋体" w:cs="宋体"/>
          <w:szCs w:val="24"/>
        </w:rPr>
      </w:pPr>
      <w:r>
        <w:rPr>
          <w:rFonts w:hint="eastAsia" w:ascii="宋体" w:hAnsi="宋体" w:cs="宋体"/>
          <w:szCs w:val="24"/>
        </w:rPr>
        <w:t xml:space="preserve">4.本技术规格书所使用的标准：如遇与制造方执行的标准不一致时，按较高标准执行。  </w:t>
      </w:r>
    </w:p>
    <w:p>
      <w:pPr>
        <w:ind w:firstLine="480"/>
        <w:rPr>
          <w:rFonts w:ascii="宋体" w:hAnsi="宋体" w:cs="宋体"/>
          <w:szCs w:val="24"/>
        </w:rPr>
      </w:pPr>
      <w:r>
        <w:rPr>
          <w:rFonts w:hint="eastAsia" w:ascii="宋体" w:hAnsi="宋体" w:cs="宋体"/>
          <w:szCs w:val="24"/>
        </w:rPr>
        <w:t>5.本技术规格书经双方确认后，作为订货合同的技术附件（即技术规格书），与合同正文具有同等法律效力。</w:t>
      </w:r>
    </w:p>
    <w:p>
      <w:pPr>
        <w:ind w:firstLine="480"/>
        <w:jc w:val="left"/>
        <w:rPr>
          <w:rFonts w:ascii="宋体" w:hAnsi="宋体" w:cs="宋体"/>
          <w:szCs w:val="24"/>
        </w:rPr>
      </w:pPr>
      <w:r>
        <w:rPr>
          <w:rFonts w:hint="eastAsia" w:ascii="宋体" w:hAnsi="宋体" w:cs="宋体"/>
          <w:szCs w:val="24"/>
        </w:rPr>
        <w:t>6.对于国家明令禁止使用的和已淘汰的产品，一律不准在本次中使用。</w:t>
      </w:r>
    </w:p>
    <w:p>
      <w:pPr>
        <w:ind w:firstLine="480"/>
        <w:rPr>
          <w:rFonts w:ascii="宋体" w:hAnsi="宋体" w:cs="宋体"/>
          <w:szCs w:val="24"/>
        </w:rPr>
      </w:pPr>
      <w:r>
        <w:rPr>
          <w:rFonts w:hint="eastAsia" w:ascii="宋体" w:hAnsi="宋体" w:cs="宋体"/>
          <w:szCs w:val="24"/>
        </w:rPr>
        <w:t>7.生产厂家应向用户，提供与本技术规格书相符的产品样板及使用说明书,偏差之处必须说明、并取得用户的同意。</w:t>
      </w:r>
    </w:p>
    <w:p>
      <w:pPr>
        <w:ind w:firstLine="480"/>
        <w:rPr>
          <w:rFonts w:ascii="宋体" w:hAnsi="宋体" w:cs="宋体"/>
          <w:szCs w:val="24"/>
        </w:rPr>
      </w:pPr>
      <w:r>
        <w:rPr>
          <w:rFonts w:hint="eastAsia" w:ascii="宋体" w:hAnsi="宋体" w:cs="宋体"/>
          <w:szCs w:val="24"/>
        </w:rPr>
        <w:t>8.煤矿井下火灾监测系统应符合下列标准。</w:t>
      </w:r>
    </w:p>
    <w:p>
      <w:pPr>
        <w:spacing w:line="360" w:lineRule="auto"/>
        <w:ind w:left="425" w:leftChars="177"/>
        <w:rPr>
          <w:rFonts w:ascii="宋体" w:hAnsi="宋体" w:cs="宋体"/>
          <w:szCs w:val="21"/>
          <w:u w:val="none"/>
        </w:rPr>
      </w:pPr>
      <w:bookmarkStart w:id="0" w:name="_Toc342207224"/>
      <w:r>
        <w:rPr>
          <w:rFonts w:hint="eastAsia" w:ascii="宋体" w:hAnsi="宋体" w:cs="宋体"/>
          <w:szCs w:val="21"/>
          <w:u w:val="none"/>
        </w:rPr>
        <w:t>《煤矿安全规程》（2016）</w:t>
      </w:r>
    </w:p>
    <w:p>
      <w:pPr>
        <w:spacing w:line="360" w:lineRule="auto"/>
        <w:ind w:left="425" w:leftChars="177"/>
        <w:rPr>
          <w:rFonts w:hint="eastAsia" w:ascii="宋体" w:hAnsi="宋体" w:cs="宋体"/>
          <w:szCs w:val="21"/>
          <w:u w:val="none"/>
        </w:rPr>
      </w:pPr>
      <w:r>
        <w:rPr>
          <w:rFonts w:hint="eastAsia" w:ascii="宋体" w:hAnsi="宋体" w:cs="宋体"/>
          <w:szCs w:val="21"/>
          <w:u w:val="none"/>
        </w:rPr>
        <w:t>《煤矿安全监控系统通用技术要求》（AQ6201-2019）</w:t>
      </w:r>
    </w:p>
    <w:p>
      <w:pPr>
        <w:spacing w:line="360" w:lineRule="auto"/>
        <w:ind w:left="425" w:leftChars="177"/>
        <w:rPr>
          <w:rFonts w:hint="eastAsia" w:ascii="宋体" w:hAnsi="宋体" w:cs="宋体"/>
          <w:szCs w:val="21"/>
          <w:u w:val="none"/>
        </w:rPr>
      </w:pPr>
      <w:r>
        <w:rPr>
          <w:rFonts w:hint="eastAsia" w:ascii="宋体" w:hAnsi="宋体" w:cs="宋体"/>
          <w:szCs w:val="21"/>
          <w:u w:val="none"/>
        </w:rPr>
        <w:t>《煤矿安全监控系统及监测仪器使用管理规范》（AQ1029-2019）</w:t>
      </w:r>
    </w:p>
    <w:p>
      <w:pPr>
        <w:spacing w:line="360" w:lineRule="auto"/>
        <w:ind w:left="425" w:leftChars="177"/>
        <w:rPr>
          <w:rFonts w:hint="eastAsia" w:ascii="宋体" w:hAnsi="宋体" w:cs="宋体"/>
          <w:szCs w:val="21"/>
          <w:u w:val="none"/>
        </w:rPr>
      </w:pPr>
      <w:r>
        <w:rPr>
          <w:rFonts w:hint="eastAsia" w:ascii="宋体" w:hAnsi="宋体" w:cs="宋体"/>
          <w:szCs w:val="21"/>
          <w:u w:val="none"/>
        </w:rPr>
        <w:t>《煤矿安全生产监控系统通用技术条件》（MT/T1004-2006）</w:t>
      </w:r>
    </w:p>
    <w:p>
      <w:pPr>
        <w:spacing w:line="360" w:lineRule="auto"/>
        <w:ind w:left="425" w:leftChars="177"/>
        <w:rPr>
          <w:rFonts w:hint="eastAsia" w:ascii="宋体" w:hAnsi="宋体" w:cs="宋体"/>
          <w:szCs w:val="21"/>
          <w:u w:val="none"/>
        </w:rPr>
      </w:pPr>
      <w:r>
        <w:rPr>
          <w:rFonts w:hint="eastAsia" w:ascii="宋体" w:hAnsi="宋体" w:cs="宋体"/>
          <w:szCs w:val="21"/>
          <w:u w:val="none"/>
        </w:rPr>
        <w:t>《煤矿自然发火束管监测系统通用技术条件》（MT/T757）</w:t>
      </w:r>
    </w:p>
    <w:p>
      <w:pPr>
        <w:spacing w:line="360" w:lineRule="auto"/>
        <w:ind w:left="425" w:leftChars="177"/>
        <w:rPr>
          <w:rFonts w:hint="eastAsia" w:ascii="宋体" w:hAnsi="宋体" w:cs="宋体"/>
          <w:szCs w:val="21"/>
          <w:u w:val="none"/>
        </w:rPr>
      </w:pPr>
      <w:r>
        <w:rPr>
          <w:rFonts w:hint="eastAsia" w:ascii="宋体" w:hAnsi="宋体" w:cs="宋体"/>
          <w:szCs w:val="21"/>
          <w:u w:val="none"/>
        </w:rPr>
        <w:t>《爆炸性环境第1部分：设备通用要求》（GB3836.1-2010）</w:t>
      </w:r>
    </w:p>
    <w:p>
      <w:pPr>
        <w:spacing w:line="360" w:lineRule="auto"/>
        <w:ind w:left="425" w:leftChars="177"/>
        <w:rPr>
          <w:rFonts w:hint="eastAsia" w:ascii="宋体" w:hAnsi="宋体" w:cs="宋体"/>
          <w:szCs w:val="21"/>
          <w:u w:val="none"/>
        </w:rPr>
      </w:pPr>
      <w:r>
        <w:rPr>
          <w:rFonts w:hint="eastAsia" w:ascii="宋体" w:hAnsi="宋体" w:cs="宋体"/>
          <w:szCs w:val="21"/>
          <w:u w:val="none"/>
        </w:rPr>
        <w:t>《爆炸性环境第2部分：由隔爆外壳“d”保护的设备》（GB3836.2-2010）</w:t>
      </w:r>
    </w:p>
    <w:p>
      <w:pPr>
        <w:spacing w:line="360" w:lineRule="auto"/>
        <w:ind w:left="425" w:leftChars="177"/>
        <w:rPr>
          <w:rFonts w:hint="eastAsia" w:ascii="宋体" w:hAnsi="宋体" w:cs="宋体"/>
          <w:szCs w:val="21"/>
          <w:u w:val="none"/>
        </w:rPr>
      </w:pPr>
      <w:r>
        <w:rPr>
          <w:rFonts w:hint="eastAsia" w:ascii="宋体" w:hAnsi="宋体" w:cs="宋体"/>
          <w:szCs w:val="21"/>
          <w:u w:val="none"/>
        </w:rPr>
        <w:t>《爆炸性环境第4部分：由本质安全型“i”保护的设备》（GB3836.4-2010）</w:t>
      </w:r>
    </w:p>
    <w:p>
      <w:pPr>
        <w:spacing w:line="360" w:lineRule="auto"/>
        <w:ind w:left="425" w:leftChars="177"/>
        <w:rPr>
          <w:rFonts w:hint="eastAsia" w:ascii="宋体" w:hAnsi="宋体" w:cs="宋体"/>
          <w:szCs w:val="21"/>
          <w:u w:val="none"/>
        </w:rPr>
      </w:pPr>
      <w:r>
        <w:rPr>
          <w:rFonts w:hint="eastAsia" w:ascii="宋体" w:hAnsi="宋体" w:cs="宋体"/>
          <w:szCs w:val="21"/>
          <w:u w:val="none"/>
        </w:rPr>
        <w:t>《矿用产品安全标志标识》（AQ1043-2007）</w:t>
      </w:r>
    </w:p>
    <w:p>
      <w:pPr>
        <w:spacing w:line="360" w:lineRule="auto"/>
        <w:ind w:left="425" w:leftChars="177"/>
        <w:rPr>
          <w:rFonts w:hint="eastAsia" w:ascii="宋体" w:hAnsi="宋体" w:cs="宋体"/>
          <w:szCs w:val="21"/>
          <w:u w:val="none"/>
        </w:rPr>
      </w:pPr>
      <w:r>
        <w:rPr>
          <w:rFonts w:hint="eastAsia" w:ascii="宋体" w:hAnsi="宋体" w:cs="宋体"/>
          <w:szCs w:val="21"/>
          <w:u w:val="none"/>
        </w:rPr>
        <w:t>《煤矿电气设备产品型号编制方法和管理方法》（MT/T154.2-1996）</w:t>
      </w:r>
    </w:p>
    <w:p>
      <w:pPr>
        <w:spacing w:line="360" w:lineRule="auto"/>
        <w:ind w:left="425" w:leftChars="177"/>
        <w:rPr>
          <w:rFonts w:hint="eastAsia" w:ascii="宋体" w:hAnsi="宋体" w:cs="宋体"/>
          <w:szCs w:val="21"/>
          <w:u w:val="none"/>
        </w:rPr>
      </w:pPr>
      <w:r>
        <w:rPr>
          <w:rFonts w:hint="eastAsia" w:ascii="宋体" w:hAnsi="宋体" w:cs="宋体"/>
          <w:szCs w:val="21"/>
          <w:u w:val="none"/>
        </w:rPr>
        <w:t>《煤矿通信、检测、控制用电工电子产品基本试验方法》（MT210-1990）</w:t>
      </w:r>
    </w:p>
    <w:p>
      <w:pPr>
        <w:spacing w:line="360" w:lineRule="auto"/>
        <w:ind w:left="425" w:leftChars="177"/>
        <w:rPr>
          <w:rFonts w:hint="eastAsia" w:ascii="宋体" w:hAnsi="宋体" w:cs="宋体"/>
          <w:szCs w:val="21"/>
          <w:u w:val="none"/>
        </w:rPr>
      </w:pPr>
      <w:r>
        <w:rPr>
          <w:rFonts w:hint="eastAsia" w:ascii="宋体" w:hAnsi="宋体" w:cs="宋体"/>
          <w:szCs w:val="21"/>
          <w:u w:val="none"/>
        </w:rPr>
        <w:t>《煤矿用直流稳压电源》（MT/T408-1995）</w:t>
      </w:r>
    </w:p>
    <w:p>
      <w:pPr>
        <w:spacing w:line="360" w:lineRule="auto"/>
        <w:ind w:left="425" w:leftChars="177"/>
        <w:rPr>
          <w:rFonts w:hint="eastAsia" w:ascii="宋体" w:hAnsi="宋体" w:cs="宋体"/>
          <w:szCs w:val="21"/>
          <w:u w:val="none"/>
        </w:rPr>
      </w:pPr>
      <w:r>
        <w:rPr>
          <w:rFonts w:hint="eastAsia" w:ascii="宋体" w:hAnsi="宋体" w:cs="宋体"/>
          <w:szCs w:val="21"/>
          <w:u w:val="none"/>
        </w:rPr>
        <w:t>《矿用以太网》（MT/T1131-2011）</w:t>
      </w:r>
    </w:p>
    <w:p>
      <w:pPr>
        <w:spacing w:line="360" w:lineRule="auto"/>
        <w:ind w:left="425" w:leftChars="177"/>
        <w:rPr>
          <w:rFonts w:hint="eastAsia" w:ascii="宋体" w:hAnsi="宋体" w:cs="宋体"/>
          <w:szCs w:val="21"/>
          <w:u w:val="none"/>
        </w:rPr>
      </w:pPr>
      <w:r>
        <w:rPr>
          <w:rFonts w:hint="eastAsia" w:ascii="宋体" w:hAnsi="宋体" w:cs="宋体"/>
          <w:szCs w:val="21"/>
          <w:u w:val="none"/>
        </w:rPr>
        <w:t>《</w:t>
      </w:r>
      <w:r>
        <w:rPr>
          <w:rFonts w:hint="eastAsia" w:ascii="宋体" w:hAnsi="宋体" w:cs="宋体"/>
          <w:szCs w:val="21"/>
          <w:u w:val="none"/>
          <w:lang w:val="en-US" w:eastAsia="zh-CN"/>
        </w:rPr>
        <w:t>煤矿防灭火细则</w:t>
      </w:r>
      <w:r>
        <w:rPr>
          <w:rFonts w:hint="eastAsia" w:ascii="宋体" w:hAnsi="宋体" w:cs="宋体"/>
          <w:szCs w:val="21"/>
          <w:u w:val="none"/>
        </w:rPr>
        <w:t>》（</w:t>
      </w:r>
      <w:r>
        <w:rPr>
          <w:rFonts w:hint="eastAsia" w:ascii="宋体" w:hAnsi="宋体" w:cs="宋体"/>
          <w:szCs w:val="21"/>
          <w:u w:val="none"/>
          <w:lang w:val="en-US" w:eastAsia="zh-CN"/>
        </w:rPr>
        <w:t>国安[2021]156号</w:t>
      </w:r>
      <w:r>
        <w:rPr>
          <w:rFonts w:hint="eastAsia" w:ascii="宋体" w:hAnsi="宋体" w:cs="宋体"/>
          <w:szCs w:val="21"/>
          <w:u w:val="none"/>
        </w:rPr>
        <w:t>）</w:t>
      </w:r>
    </w:p>
    <w:p>
      <w:pPr>
        <w:pStyle w:val="22"/>
        <w:numPr>
          <w:ilvl w:val="0"/>
          <w:numId w:val="0"/>
        </w:numPr>
        <w:autoSpaceDE w:val="0"/>
        <w:autoSpaceDN w:val="0"/>
        <w:spacing w:line="360" w:lineRule="auto"/>
        <w:ind w:leftChars="2" w:firstLine="960" w:firstLineChars="400"/>
        <w:rPr>
          <w:rFonts w:hint="eastAsia" w:ascii="宋体" w:hAnsi="Courier New" w:cs="Times New Roman"/>
          <w:kern w:val="0"/>
          <w:sz w:val="24"/>
          <w:szCs w:val="20"/>
          <w:u w:val="none"/>
          <w:lang w:val="en-GB" w:eastAsia="zh-CN" w:bidi="ar-SA"/>
        </w:rPr>
      </w:pPr>
      <w:r>
        <w:rPr>
          <w:rFonts w:hint="eastAsia" w:ascii="宋体" w:hAnsi="宋体" w:eastAsia="宋体" w:cs="宋体"/>
          <w:kern w:val="2"/>
          <w:sz w:val="24"/>
          <w:szCs w:val="21"/>
          <w:u w:val="none"/>
          <w:lang w:val="en-US" w:eastAsia="zh-CN" w:bidi="ar-SA"/>
        </w:rPr>
        <w:t>《</w:t>
      </w:r>
      <w:r>
        <w:rPr>
          <w:rFonts w:hint="eastAsia" w:ascii="宋体" w:hAnsi="宋体" w:cs="宋体"/>
          <w:kern w:val="2"/>
          <w:sz w:val="24"/>
          <w:szCs w:val="21"/>
          <w:u w:val="none"/>
          <w:lang w:val="en-US" w:eastAsia="zh-CN" w:bidi="ar-SA"/>
        </w:rPr>
        <w:t>内蒙古自治区煤矿智能化建设验收办法（试行）</w:t>
      </w:r>
      <w:r>
        <w:rPr>
          <w:rFonts w:hint="eastAsia" w:ascii="宋体" w:hAnsi="宋体" w:eastAsia="宋体" w:cs="宋体"/>
          <w:kern w:val="2"/>
          <w:sz w:val="24"/>
          <w:szCs w:val="21"/>
          <w:u w:val="none"/>
          <w:lang w:val="en-US" w:eastAsia="zh-CN" w:bidi="ar-SA"/>
        </w:rPr>
        <w:t>》</w:t>
      </w:r>
    </w:p>
    <w:p>
      <w:pPr>
        <w:pStyle w:val="5"/>
        <w:bidi w:val="0"/>
        <w:rPr>
          <w:rFonts w:hint="eastAsia"/>
        </w:rPr>
      </w:pPr>
      <w:r>
        <w:rPr>
          <w:rFonts w:hint="eastAsia"/>
          <w:lang w:val="en-US" w:eastAsia="zh-CN"/>
        </w:rPr>
        <w:t>二、</w:t>
      </w:r>
      <w:r>
        <w:rPr>
          <w:rFonts w:hint="eastAsia"/>
        </w:rPr>
        <w:t>运行环境条件</w:t>
      </w:r>
      <w:bookmarkEnd w:id="0"/>
    </w:p>
    <w:p>
      <w:pPr>
        <w:numPr>
          <w:ilvl w:val="0"/>
          <w:numId w:val="0"/>
        </w:numPr>
        <w:ind w:firstLine="480" w:firstLineChars="200"/>
        <w:rPr>
          <w:rFonts w:hint="default" w:eastAsia="宋体"/>
          <w:lang w:val="en-US" w:eastAsia="zh-CN"/>
        </w:rPr>
      </w:pPr>
      <w:r>
        <w:rPr>
          <w:rFonts w:hint="eastAsia" w:cs="Times New Roman"/>
          <w:lang w:val="en-US" w:eastAsia="zh-CN"/>
        </w:rPr>
        <w:t>1、</w:t>
      </w:r>
      <w:r>
        <w:rPr>
          <w:rFonts w:hint="eastAsia"/>
          <w:lang w:val="en-US" w:eastAsia="zh-CN"/>
        </w:rPr>
        <w:t>使用环境：</w:t>
      </w:r>
      <w:r>
        <w:rPr>
          <w:rFonts w:hint="eastAsia" w:ascii="宋体" w:hAnsi="宋体" w:cs="宋体"/>
          <w:lang w:val="en-US" w:eastAsia="zh-CN"/>
        </w:rPr>
        <w:t>煤矿井下；</w:t>
      </w:r>
    </w:p>
    <w:p>
      <w:pPr>
        <w:numPr>
          <w:ilvl w:val="0"/>
          <w:numId w:val="1"/>
        </w:numPr>
        <w:ind w:firstLineChars="0"/>
        <w:jc w:val="left"/>
        <w:rPr>
          <w:rFonts w:ascii="宋体" w:hAnsi="宋体"/>
          <w:szCs w:val="24"/>
        </w:rPr>
      </w:pPr>
      <w:r>
        <w:rPr>
          <w:rFonts w:hint="eastAsia" w:ascii="宋体" w:hAnsi="宋体"/>
          <w:szCs w:val="24"/>
        </w:rPr>
        <w:t>总功率：≤500W；</w:t>
      </w:r>
    </w:p>
    <w:p>
      <w:pPr>
        <w:numPr>
          <w:ilvl w:val="0"/>
          <w:numId w:val="1"/>
        </w:numPr>
        <w:ind w:firstLineChars="0"/>
        <w:jc w:val="left"/>
        <w:rPr>
          <w:rFonts w:ascii="宋体" w:hAnsi="宋体"/>
          <w:szCs w:val="24"/>
        </w:rPr>
      </w:pPr>
      <w:r>
        <w:rPr>
          <w:rFonts w:hint="eastAsia" w:ascii="宋体" w:hAnsi="宋体"/>
          <w:szCs w:val="24"/>
        </w:rPr>
        <w:t>接地线接地电阻≤3Ω；</w:t>
      </w:r>
    </w:p>
    <w:p>
      <w:pPr>
        <w:numPr>
          <w:ilvl w:val="0"/>
          <w:numId w:val="1"/>
        </w:numPr>
        <w:ind w:firstLineChars="0"/>
        <w:jc w:val="left"/>
        <w:rPr>
          <w:rFonts w:ascii="宋体" w:hAnsi="宋体"/>
          <w:szCs w:val="24"/>
        </w:rPr>
      </w:pPr>
      <w:r>
        <w:rPr>
          <w:rFonts w:hint="eastAsia" w:ascii="宋体" w:hAnsi="宋体"/>
          <w:szCs w:val="24"/>
        </w:rPr>
        <w:t>温度：10~35℃；</w:t>
      </w:r>
    </w:p>
    <w:p>
      <w:pPr>
        <w:numPr>
          <w:ilvl w:val="0"/>
          <w:numId w:val="1"/>
        </w:numPr>
        <w:ind w:firstLineChars="0"/>
        <w:jc w:val="left"/>
        <w:rPr>
          <w:rFonts w:ascii="宋体" w:hAnsi="宋体"/>
          <w:szCs w:val="24"/>
        </w:rPr>
      </w:pPr>
      <w:r>
        <w:rPr>
          <w:rFonts w:hint="eastAsia" w:ascii="宋体" w:hAnsi="宋体"/>
          <w:szCs w:val="24"/>
        </w:rPr>
        <w:t>相对湿度：≤85%；</w:t>
      </w:r>
    </w:p>
    <w:p>
      <w:pPr>
        <w:numPr>
          <w:ilvl w:val="0"/>
          <w:numId w:val="1"/>
        </w:numPr>
        <w:ind w:firstLineChars="0"/>
        <w:jc w:val="left"/>
        <w:rPr>
          <w:rFonts w:ascii="宋体" w:hAnsi="宋体"/>
          <w:szCs w:val="24"/>
        </w:rPr>
      </w:pPr>
      <w:r>
        <w:rPr>
          <w:rFonts w:hint="eastAsia" w:ascii="宋体" w:hAnsi="宋体"/>
          <w:szCs w:val="24"/>
        </w:rPr>
        <w:t>周围环境温度：最高温度，不高于</w:t>
      </w:r>
      <w:r>
        <w:rPr>
          <w:rFonts w:ascii="宋体" w:hAnsi="宋体"/>
          <w:szCs w:val="24"/>
        </w:rPr>
        <w:t>+</w:t>
      </w:r>
      <w:r>
        <w:rPr>
          <w:rFonts w:hint="eastAsia" w:ascii="宋体" w:hAnsi="宋体"/>
          <w:szCs w:val="24"/>
        </w:rPr>
        <w:t>44</w:t>
      </w:r>
      <w:r>
        <w:rPr>
          <w:rFonts w:hint="eastAsia" w:ascii="宋体" w:hAnsi="宋体" w:cs="宋体"/>
          <w:szCs w:val="24"/>
        </w:rPr>
        <w:t>℃</w:t>
      </w:r>
      <w:r>
        <w:rPr>
          <w:rFonts w:hint="eastAsia" w:ascii="宋体" w:hAnsi="宋体"/>
          <w:szCs w:val="24"/>
        </w:rPr>
        <w:t>；最低温度，不低于</w:t>
      </w:r>
      <w:r>
        <w:rPr>
          <w:rFonts w:ascii="宋体" w:hAnsi="宋体"/>
          <w:szCs w:val="24"/>
        </w:rPr>
        <w:t>-</w:t>
      </w:r>
      <w:r>
        <w:rPr>
          <w:rFonts w:hint="eastAsia" w:ascii="宋体" w:hAnsi="宋体"/>
          <w:szCs w:val="24"/>
        </w:rPr>
        <w:t>22</w:t>
      </w:r>
      <w:r>
        <w:rPr>
          <w:rFonts w:hint="eastAsia" w:ascii="宋体" w:hAnsi="宋体" w:cs="宋体"/>
          <w:szCs w:val="24"/>
        </w:rPr>
        <w:t>℃；</w:t>
      </w:r>
    </w:p>
    <w:p>
      <w:pPr>
        <w:numPr>
          <w:ilvl w:val="0"/>
          <w:numId w:val="1"/>
        </w:numPr>
        <w:ind w:firstLineChars="0"/>
        <w:jc w:val="left"/>
        <w:rPr>
          <w:rFonts w:ascii="宋体" w:hAnsi="宋体"/>
          <w:szCs w:val="24"/>
        </w:rPr>
      </w:pPr>
      <w:r>
        <w:rPr>
          <w:rFonts w:hint="eastAsia" w:ascii="宋体" w:hAnsi="宋体"/>
          <w:szCs w:val="24"/>
        </w:rPr>
        <w:t>环境相对湿度（</w:t>
      </w:r>
      <w:r>
        <w:rPr>
          <w:rFonts w:hint="eastAsia" w:ascii="宋体" w:hAnsi="宋体"/>
          <w:szCs w:val="24"/>
          <w:lang w:val="en-US" w:eastAsia="zh-CN"/>
        </w:rPr>
        <w:t>15</w:t>
      </w:r>
      <w:r>
        <w:rPr>
          <w:rFonts w:hint="eastAsia" w:ascii="宋体" w:hAnsi="宋体"/>
          <w:szCs w:val="24"/>
        </w:rPr>
        <w:t>℃时）：日平均值不大于95%，月平均值不大于90%；</w:t>
      </w:r>
    </w:p>
    <w:p>
      <w:pPr>
        <w:numPr>
          <w:ilvl w:val="0"/>
          <w:numId w:val="1"/>
        </w:numPr>
        <w:ind w:firstLineChars="0"/>
        <w:jc w:val="left"/>
        <w:rPr>
          <w:rFonts w:ascii="宋体" w:hAnsi="宋体"/>
          <w:szCs w:val="24"/>
        </w:rPr>
      </w:pPr>
      <w:r>
        <w:rPr>
          <w:rFonts w:hint="eastAsia" w:ascii="宋体" w:hAnsi="宋体"/>
          <w:szCs w:val="24"/>
        </w:rPr>
        <w:t>大气压力：80kPa～106kPa；</w:t>
      </w:r>
    </w:p>
    <w:p>
      <w:pPr>
        <w:numPr>
          <w:ilvl w:val="0"/>
          <w:numId w:val="1"/>
        </w:numPr>
        <w:ind w:firstLineChars="0"/>
        <w:jc w:val="left"/>
        <w:rPr>
          <w:rFonts w:ascii="宋体" w:hAnsi="宋体"/>
          <w:szCs w:val="24"/>
        </w:rPr>
      </w:pPr>
      <w:r>
        <w:rPr>
          <w:rFonts w:hint="eastAsia" w:ascii="宋体" w:hAnsi="宋体"/>
          <w:szCs w:val="24"/>
        </w:rPr>
        <w:t>无显著振动和冲击的场合；</w:t>
      </w:r>
    </w:p>
    <w:p>
      <w:pPr>
        <w:numPr>
          <w:ilvl w:val="0"/>
          <w:numId w:val="1"/>
        </w:numPr>
        <w:ind w:firstLineChars="0"/>
        <w:jc w:val="left"/>
        <w:rPr>
          <w:rFonts w:ascii="宋体" w:hAnsi="宋体"/>
          <w:szCs w:val="24"/>
        </w:rPr>
      </w:pPr>
      <w:r>
        <w:rPr>
          <w:rFonts w:hint="eastAsia" w:ascii="宋体" w:hAnsi="宋体"/>
          <w:szCs w:val="24"/>
        </w:rPr>
        <w:t>无破坏绝缘的腐蚀性气体场合；</w:t>
      </w:r>
    </w:p>
    <w:p>
      <w:pPr>
        <w:numPr>
          <w:ilvl w:val="0"/>
          <w:numId w:val="1"/>
        </w:numPr>
        <w:ind w:firstLineChars="0"/>
        <w:jc w:val="left"/>
      </w:pPr>
      <w:r>
        <w:rPr>
          <w:rFonts w:hint="eastAsia" w:ascii="宋体" w:hAnsi="宋体"/>
          <w:szCs w:val="24"/>
        </w:rPr>
        <w:t>无爆炸性气体混合物的场合。</w:t>
      </w:r>
    </w:p>
    <w:p>
      <w:pPr>
        <w:pStyle w:val="5"/>
        <w:ind w:firstLine="643"/>
      </w:pPr>
      <w:r>
        <w:rPr>
          <w:rFonts w:hint="eastAsia"/>
          <w:lang w:val="en-US" w:eastAsia="zh-CN"/>
        </w:rPr>
        <w:t>三</w:t>
      </w:r>
      <w:r>
        <w:rPr>
          <w:rFonts w:hint="eastAsia"/>
        </w:rPr>
        <w:t>、基本要求</w:t>
      </w:r>
    </w:p>
    <w:p>
      <w:pPr>
        <w:ind w:firstLine="480"/>
      </w:pPr>
      <w:r>
        <w:rPr>
          <w:rFonts w:hint="eastAsia"/>
        </w:rPr>
        <w:t>1.本规范所提出的技术要求，并未对一切技术细节作出规定，未充分引述有关标准和规范的条文，投标方应保证提供符合本规范要求和有关工业标准的优质产品，以保证设备的安全可靠运行。</w:t>
      </w:r>
    </w:p>
    <w:p>
      <w:pPr>
        <w:ind w:firstLine="480"/>
      </w:pPr>
      <w:r>
        <w:rPr>
          <w:rFonts w:hint="eastAsia"/>
        </w:rPr>
        <w:t>2.以上设备仅包含统计的主要设备，投标方建设的系统必须严格满足系统的招标要求，提供的完整设备方案，配齐满足工程应用的所有设备及材料并不限于上述数量。</w:t>
      </w:r>
    </w:p>
    <w:p>
      <w:pPr>
        <w:ind w:firstLine="480"/>
        <w:rPr>
          <w:rFonts w:ascii="宋体" w:hAnsi="宋体"/>
        </w:rPr>
      </w:pPr>
      <w:r>
        <w:rPr>
          <w:rFonts w:hint="eastAsia"/>
        </w:rPr>
        <w:t>3.投标时需提供投标产品</w:t>
      </w:r>
      <w:r>
        <w:rPr>
          <w:rFonts w:hint="eastAsia" w:ascii="宋体" w:hAnsi="宋体"/>
        </w:rPr>
        <w:t>合格证、MA标志证、防爆合格证复印件。</w:t>
      </w:r>
    </w:p>
    <w:p>
      <w:pPr>
        <w:ind w:firstLine="480"/>
      </w:pPr>
      <w:r>
        <w:rPr>
          <w:rFonts w:hint="eastAsia"/>
        </w:rPr>
        <w:t>4.为保证投标产品能够切实满足实际应用需求，对于技术参数中重要指标不允许偏离。</w:t>
      </w:r>
    </w:p>
    <w:p>
      <w:pPr>
        <w:pStyle w:val="5"/>
        <w:ind w:firstLine="643"/>
      </w:pPr>
      <w:r>
        <w:rPr>
          <w:rFonts w:hint="eastAsia"/>
          <w:lang w:val="en-US" w:eastAsia="zh-CN"/>
        </w:rPr>
        <w:t>四</w:t>
      </w:r>
      <w:r>
        <w:rPr>
          <w:rFonts w:hint="eastAsia"/>
        </w:rPr>
        <w:t>、项目简介</w:t>
      </w:r>
    </w:p>
    <w:p>
      <w:pPr>
        <w:spacing w:before="120" w:after="120"/>
        <w:ind w:firstLine="480"/>
      </w:pPr>
      <w:r>
        <w:rPr>
          <w:rFonts w:hint="eastAsia"/>
        </w:rPr>
        <w:t>根据</w:t>
      </w:r>
      <w:r>
        <w:rPr>
          <w:rFonts w:hint="eastAsia"/>
          <w:lang w:val="en-US" w:eastAsia="zh-CN"/>
        </w:rPr>
        <w:t>东博煤</w:t>
      </w:r>
      <w:r>
        <w:rPr>
          <w:rFonts w:hint="eastAsia"/>
        </w:rPr>
        <w:t>矿安全生产需要，建设井下火灾监测系统一套，并按照《煤矿束管监测系统感知数据接入细则（试行）》要求，将束管监测系统采集的基础数据、实时数据上传至</w:t>
      </w:r>
      <w:r>
        <w:rPr>
          <w:rFonts w:hint="eastAsia"/>
          <w:lang w:val="en-US" w:eastAsia="zh-CN"/>
        </w:rPr>
        <w:t>市</w:t>
      </w:r>
      <w:r>
        <w:rPr>
          <w:rFonts w:hint="eastAsia"/>
        </w:rPr>
        <w:t>局的</w:t>
      </w:r>
      <w:r>
        <w:rPr>
          <w:rFonts w:hint="eastAsia"/>
          <w:lang w:val="en-US" w:eastAsia="zh-CN"/>
        </w:rPr>
        <w:t>煤炭安全监管平台</w:t>
      </w:r>
      <w:r>
        <w:rPr>
          <w:rFonts w:hint="eastAsia"/>
        </w:rPr>
        <w:t>。</w:t>
      </w:r>
    </w:p>
    <w:p>
      <w:pPr>
        <w:spacing w:before="120" w:after="120"/>
        <w:ind w:firstLine="480"/>
        <w:rPr>
          <w:rFonts w:hint="default"/>
          <w:lang w:val="en-US" w:eastAsia="zh-CN"/>
        </w:rPr>
      </w:pPr>
      <w:r>
        <w:rPr>
          <w:rFonts w:hint="eastAsia"/>
        </w:rPr>
        <w:t>井下火灾监测系统符合2021年鄂尔多斯市能源局下发《关于煤炭安全监管平台数据对接工作征求意见的函》，文件明确要求煤矿装设井下束管监测系统，实现</w:t>
      </w:r>
      <w:r>
        <w:rPr>
          <w:rFonts w:hint="eastAsia"/>
          <w:lang w:val="en-US" w:eastAsia="zh-CN"/>
        </w:rPr>
        <w:t>CO、CO2、CH4、O2、H2、N2、C2H4、C2H6、C2H2、C3H6</w:t>
      </w:r>
      <w:r>
        <w:rPr>
          <w:rFonts w:hint="eastAsia"/>
        </w:rPr>
        <w:t>等10种气体含量的24小时在线连续监测，对其含量变化情况进行分析预测，并根据要求将实时监测数据上传至煤炭安全监管平台。</w:t>
      </w:r>
    </w:p>
    <w:p>
      <w:pPr>
        <w:pStyle w:val="5"/>
        <w:bidi w:val="0"/>
        <w:rPr>
          <w:rFonts w:hint="eastAsia"/>
        </w:rPr>
      </w:pPr>
      <w:r>
        <w:rPr>
          <w:rFonts w:hint="eastAsia"/>
          <w:lang w:val="en-US" w:eastAsia="zh-CN"/>
        </w:rPr>
        <w:t>五</w:t>
      </w:r>
      <w:r>
        <w:rPr>
          <w:rFonts w:hint="eastAsia"/>
        </w:rPr>
        <w:t>、技术要求</w:t>
      </w:r>
    </w:p>
    <w:p>
      <w:pPr>
        <w:pStyle w:val="21"/>
        <w:ind w:firstLine="480"/>
        <w:rPr>
          <w:rFonts w:ascii="宋体" w:hAnsi="宋体" w:cs="宋体"/>
          <w:szCs w:val="24"/>
        </w:rPr>
      </w:pPr>
      <w:r>
        <w:rPr>
          <w:rFonts w:hint="eastAsia" w:ascii="宋体" w:hAnsi="宋体" w:cs="宋体"/>
          <w:szCs w:val="24"/>
        </w:rPr>
        <w:t>1.矿用本安型井下火灾监测主站</w:t>
      </w:r>
    </w:p>
    <w:p>
      <w:pPr>
        <w:ind w:firstLine="480"/>
        <w:jc w:val="left"/>
        <w:rPr>
          <w:rFonts w:ascii="宋体" w:hAnsi="宋体"/>
          <w:szCs w:val="24"/>
        </w:rPr>
      </w:pPr>
      <w:r>
        <w:rPr>
          <w:rFonts w:hint="eastAsia" w:ascii="宋体" w:hAnsi="宋体"/>
          <w:szCs w:val="24"/>
        </w:rPr>
        <w:t>（</w:t>
      </w:r>
      <w:r>
        <w:rPr>
          <w:rFonts w:ascii="宋体" w:hAnsi="宋体"/>
          <w:szCs w:val="24"/>
        </w:rPr>
        <w:t>1)</w:t>
      </w:r>
      <w:bookmarkStart w:id="1" w:name="_Toc509712932"/>
      <w:bookmarkStart w:id="2" w:name="_Toc310409089"/>
      <w:bookmarkStart w:id="3" w:name="_Toc4209760"/>
      <w:bookmarkStart w:id="4" w:name="_Toc509565771"/>
      <w:bookmarkStart w:id="5" w:name="_Toc501783252"/>
      <w:bookmarkStart w:id="6" w:name="_Toc3967283"/>
      <w:r>
        <w:rPr>
          <w:rFonts w:ascii="宋体" w:hAnsi="宋体"/>
          <w:szCs w:val="24"/>
        </w:rPr>
        <w:t>井下气体采样、分析系统：主要完成井下气体的采集和完成气体样本</w:t>
      </w:r>
      <w:r>
        <w:rPr>
          <w:rFonts w:hint="eastAsia" w:ascii="宋体" w:hAnsi="宋体"/>
          <w:szCs w:val="24"/>
        </w:rPr>
        <w:t>组份</w:t>
      </w:r>
      <w:r>
        <w:rPr>
          <w:rFonts w:ascii="宋体" w:hAnsi="宋体"/>
          <w:szCs w:val="24"/>
        </w:rPr>
        <w:t>的精确测量</w:t>
      </w:r>
      <w:r>
        <w:rPr>
          <w:rFonts w:hint="eastAsia" w:ascii="宋体" w:hAnsi="宋体"/>
          <w:szCs w:val="24"/>
        </w:rPr>
        <w:t>。</w:t>
      </w:r>
      <w:r>
        <w:rPr>
          <w:rFonts w:ascii="宋体" w:hAnsi="宋体"/>
          <w:szCs w:val="24"/>
        </w:rPr>
        <w:t>包括：矿用</w:t>
      </w:r>
      <w:r>
        <w:rPr>
          <w:rFonts w:hint="eastAsia" w:ascii="宋体" w:hAnsi="宋体"/>
          <w:szCs w:val="24"/>
        </w:rPr>
        <w:t>本安型井下火灾监测主站</w:t>
      </w:r>
      <w:r>
        <w:rPr>
          <w:rFonts w:ascii="宋体" w:hAnsi="宋体"/>
          <w:szCs w:val="24"/>
        </w:rPr>
        <w:t>、</w:t>
      </w:r>
      <w:r>
        <w:rPr>
          <w:rFonts w:hint="eastAsia" w:ascii="宋体" w:hAnsi="宋体"/>
          <w:szCs w:val="24"/>
        </w:rPr>
        <w:t>标气、载气、煤矿井下束管输气泵站</w:t>
      </w:r>
      <w:r>
        <w:rPr>
          <w:rFonts w:ascii="宋体" w:hAnsi="宋体"/>
          <w:szCs w:val="24"/>
        </w:rPr>
        <w:t>、</w:t>
      </w:r>
      <w:r>
        <w:rPr>
          <w:rFonts w:hint="eastAsia" w:ascii="宋体" w:hAnsi="宋体"/>
          <w:szCs w:val="24"/>
        </w:rPr>
        <w:t>矿用隔爆型电控箱、</w:t>
      </w:r>
      <w:r>
        <w:rPr>
          <w:rFonts w:ascii="宋体" w:hAnsi="宋体"/>
          <w:szCs w:val="24"/>
        </w:rPr>
        <w:t>滤水器、滤尘器、束管等</w:t>
      </w:r>
      <w:r>
        <w:rPr>
          <w:rFonts w:hint="eastAsia" w:ascii="宋体" w:hAnsi="宋体"/>
          <w:szCs w:val="24"/>
        </w:rPr>
        <w:t>；</w:t>
      </w:r>
    </w:p>
    <w:p>
      <w:pPr>
        <w:ind w:firstLine="480"/>
        <w:jc w:val="left"/>
        <w:rPr>
          <w:rFonts w:ascii="宋体" w:hAnsi="宋体"/>
          <w:szCs w:val="24"/>
        </w:rPr>
      </w:pPr>
      <w:r>
        <w:rPr>
          <w:rFonts w:hint="eastAsia" w:ascii="宋体" w:hAnsi="宋体"/>
          <w:szCs w:val="24"/>
        </w:rPr>
        <w:t>（</w:t>
      </w:r>
      <w:r>
        <w:rPr>
          <w:rFonts w:ascii="宋体" w:hAnsi="宋体"/>
          <w:szCs w:val="24"/>
        </w:rPr>
        <w:t>2)</w:t>
      </w:r>
      <w:r>
        <w:rPr>
          <w:rFonts w:hint="eastAsia" w:ascii="宋体" w:hAnsi="宋体"/>
          <w:szCs w:val="24"/>
        </w:rPr>
        <w:t>井上</w:t>
      </w:r>
      <w:r>
        <w:rPr>
          <w:rFonts w:ascii="宋体" w:hAnsi="宋体"/>
          <w:szCs w:val="24"/>
        </w:rPr>
        <w:t>数据处理：主要完成测定数据的获取、存储、分析、共享、束管采样控制等的软件系统</w:t>
      </w:r>
      <w:r>
        <w:rPr>
          <w:rFonts w:hint="eastAsia" w:ascii="宋体" w:hAnsi="宋体"/>
          <w:szCs w:val="24"/>
        </w:rPr>
        <w:t>；</w:t>
      </w:r>
    </w:p>
    <w:p>
      <w:pPr>
        <w:ind w:firstLine="480"/>
        <w:jc w:val="left"/>
        <w:rPr>
          <w:rFonts w:ascii="宋体" w:hAnsi="宋体"/>
          <w:szCs w:val="24"/>
        </w:rPr>
      </w:pPr>
      <w:r>
        <w:rPr>
          <w:rFonts w:hint="eastAsia" w:ascii="宋体" w:hAnsi="宋体"/>
          <w:szCs w:val="24"/>
        </w:rPr>
        <w:t>（</w:t>
      </w:r>
      <w:r>
        <w:rPr>
          <w:rFonts w:ascii="宋体" w:hAnsi="宋体"/>
          <w:szCs w:val="24"/>
        </w:rPr>
        <w:t>3)</w:t>
      </w:r>
      <w:r>
        <w:rPr>
          <w:rFonts w:hint="eastAsia" w:ascii="宋体" w:hAnsi="宋体"/>
          <w:szCs w:val="24"/>
        </w:rPr>
        <w:t>监测设备布置于井下，通过环网与井上计算机连接</w:t>
      </w:r>
      <w:r>
        <w:rPr>
          <w:rFonts w:ascii="宋体" w:hAnsi="宋体"/>
          <w:szCs w:val="24"/>
        </w:rPr>
        <w:t>，</w:t>
      </w:r>
      <w:r>
        <w:rPr>
          <w:rFonts w:hint="eastAsia" w:ascii="宋体" w:hAnsi="宋体"/>
          <w:szCs w:val="24"/>
        </w:rPr>
        <w:t>在计算机控制下，井下微色谱可对监测点的气体进行精确分析</w:t>
      </w:r>
      <w:r>
        <w:rPr>
          <w:rFonts w:hint="eastAsia" w:ascii="宋体" w:hAnsi="宋体"/>
          <w:color w:val="000000" w:themeColor="text1"/>
          <w:szCs w:val="24"/>
          <w14:textFill>
            <w14:solidFill>
              <w14:schemeClr w14:val="tx1"/>
            </w14:solidFill>
          </w14:textFill>
        </w:rPr>
        <w:t>，实现对</w:t>
      </w:r>
      <w:r>
        <w:rPr>
          <w:color w:val="000000" w:themeColor="text1"/>
          <w:szCs w:val="24"/>
          <w14:textFill>
            <w14:solidFill>
              <w14:schemeClr w14:val="tx1"/>
            </w14:solidFill>
          </w14:textFill>
        </w:rPr>
        <w:t>CO、CO2、CH4、C2H4、C2H6、C2H2、O2、N2</w:t>
      </w:r>
      <w:r>
        <w:rPr>
          <w:rFonts w:hint="eastAsia"/>
          <w:color w:val="000000" w:themeColor="text1"/>
          <w:szCs w:val="24"/>
          <w14:textFill>
            <w14:solidFill>
              <w14:schemeClr w14:val="tx1"/>
            </w14:solidFill>
          </w14:textFill>
        </w:rPr>
        <w:t>、</w:t>
      </w:r>
      <w:r>
        <w:rPr>
          <w:rFonts w:hint="eastAsia"/>
          <w:color w:val="000000" w:themeColor="text1"/>
          <w14:textFill>
            <w14:solidFill>
              <w14:schemeClr w14:val="tx1"/>
            </w14:solidFill>
          </w14:textFill>
        </w:rPr>
        <w:t>H</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C3H6</w:t>
      </w:r>
      <w:r>
        <w:rPr>
          <w:rFonts w:hint="eastAsia" w:ascii="宋体" w:hAnsi="宋体"/>
          <w:szCs w:val="24"/>
        </w:rPr>
        <w:t>等气体含量的在线监测</w:t>
      </w:r>
      <w:r>
        <w:rPr>
          <w:rFonts w:ascii="宋体" w:hAnsi="宋体"/>
          <w:szCs w:val="24"/>
        </w:rPr>
        <w:t>，</w:t>
      </w:r>
      <w:r>
        <w:rPr>
          <w:rFonts w:hint="eastAsia" w:ascii="宋体" w:hAnsi="宋体"/>
          <w:szCs w:val="24"/>
        </w:rPr>
        <w:t>现场直接显示分析结果，</w:t>
      </w:r>
      <w:r>
        <w:rPr>
          <w:rFonts w:ascii="宋体" w:hAnsi="宋体"/>
          <w:szCs w:val="24"/>
        </w:rPr>
        <w:t>精确地掌握井下气体的状况</w:t>
      </w:r>
      <w:r>
        <w:rPr>
          <w:rFonts w:hint="eastAsia" w:ascii="宋体" w:hAnsi="宋体"/>
          <w:szCs w:val="24"/>
        </w:rPr>
        <w:t>；</w:t>
      </w:r>
    </w:p>
    <w:p>
      <w:pPr>
        <w:ind w:firstLine="480"/>
        <w:jc w:val="left"/>
        <w:rPr>
          <w:rFonts w:ascii="宋体" w:hAnsi="宋体"/>
          <w:szCs w:val="24"/>
        </w:rPr>
      </w:pPr>
      <w:r>
        <w:rPr>
          <w:rFonts w:hint="eastAsia" w:ascii="宋体" w:hAnsi="宋体"/>
          <w:szCs w:val="24"/>
        </w:rPr>
        <w:t>（</w:t>
      </w:r>
      <w:r>
        <w:rPr>
          <w:rFonts w:ascii="宋体" w:hAnsi="宋体"/>
          <w:szCs w:val="24"/>
        </w:rPr>
        <w:t>4)系统采用适合煤矿使用的</w:t>
      </w:r>
      <w:r>
        <w:rPr>
          <w:rFonts w:hint="eastAsia" w:ascii="宋体" w:hAnsi="宋体"/>
          <w:szCs w:val="24"/>
        </w:rPr>
        <w:t>矿用本安型井下火灾监测主站为核心的监测系统，监测主站的分析模块为微型色谱仪。色谱仪监测精度0.1ppm，分析</w:t>
      </w:r>
      <w:r>
        <w:rPr>
          <w:rFonts w:hint="eastAsia"/>
          <w:szCs w:val="24"/>
        </w:rPr>
        <w:t>范围0~100%，一路分析时间为2-3分钟；</w:t>
      </w:r>
    </w:p>
    <w:p>
      <w:pPr>
        <w:ind w:firstLine="480"/>
        <w:jc w:val="left"/>
        <w:rPr>
          <w:rFonts w:ascii="宋体" w:hAnsi="宋体"/>
          <w:szCs w:val="24"/>
        </w:rPr>
      </w:pPr>
      <w:r>
        <w:rPr>
          <w:rFonts w:hint="eastAsia" w:ascii="宋体" w:hAnsi="宋体"/>
          <w:szCs w:val="24"/>
        </w:rPr>
        <w:t>（5</w:t>
      </w:r>
      <w:r>
        <w:rPr>
          <w:rFonts w:ascii="宋体" w:hAnsi="宋体"/>
          <w:szCs w:val="24"/>
        </w:rPr>
        <w:t>)</w:t>
      </w:r>
      <w:r>
        <w:rPr>
          <w:rFonts w:hint="eastAsia" w:ascii="宋体" w:hAnsi="宋体"/>
          <w:szCs w:val="24"/>
        </w:rPr>
        <w:t>系统必须具备如下数据分析功能：（</w:t>
      </w:r>
      <w:r>
        <w:rPr>
          <w:rFonts w:ascii="宋体" w:hAnsi="宋体"/>
          <w:szCs w:val="24"/>
        </w:rPr>
        <w:t>1</w:t>
      </w:r>
      <w:r>
        <w:rPr>
          <w:rFonts w:hint="eastAsia" w:ascii="宋体" w:hAnsi="宋体"/>
          <w:szCs w:val="24"/>
        </w:rPr>
        <w:t>）爆炸三角图；（</w:t>
      </w:r>
      <w:r>
        <w:rPr>
          <w:rFonts w:ascii="宋体" w:hAnsi="宋体"/>
          <w:szCs w:val="24"/>
        </w:rPr>
        <w:t>2</w:t>
      </w:r>
      <w:r>
        <w:rPr>
          <w:rFonts w:hint="eastAsia" w:ascii="宋体" w:hAnsi="宋体"/>
          <w:szCs w:val="24"/>
        </w:rPr>
        <w:t>）爆炸趋势四方图；（</w:t>
      </w:r>
      <w:r>
        <w:rPr>
          <w:rFonts w:ascii="宋体" w:hAnsi="宋体"/>
          <w:szCs w:val="24"/>
        </w:rPr>
        <w:t>3</w:t>
      </w:r>
      <w:r>
        <w:rPr>
          <w:rFonts w:hint="eastAsia" w:ascii="宋体" w:hAnsi="宋体"/>
          <w:szCs w:val="24"/>
        </w:rPr>
        <w:t>）特里克特比率</w:t>
      </w:r>
      <w:r>
        <w:rPr>
          <w:rFonts w:ascii="宋体" w:hAnsi="宋体"/>
          <w:szCs w:val="24"/>
        </w:rPr>
        <w:t>Tr</w:t>
      </w:r>
      <w:r>
        <w:rPr>
          <w:rFonts w:hint="eastAsia" w:ascii="宋体" w:hAnsi="宋体"/>
          <w:szCs w:val="24"/>
        </w:rPr>
        <w:t>；（</w:t>
      </w:r>
      <w:r>
        <w:rPr>
          <w:rFonts w:ascii="宋体" w:hAnsi="宋体"/>
          <w:szCs w:val="24"/>
        </w:rPr>
        <w:t>4</w:t>
      </w:r>
      <w:r>
        <w:rPr>
          <w:rFonts w:hint="eastAsia" w:ascii="宋体" w:hAnsi="宋体"/>
          <w:szCs w:val="24"/>
        </w:rPr>
        <w:t>）</w:t>
      </w:r>
      <w:r>
        <w:rPr>
          <w:rFonts w:ascii="宋体" w:hAnsi="宋体"/>
          <w:szCs w:val="24"/>
        </w:rPr>
        <w:t>Graham’sRation</w:t>
      </w:r>
      <w:r>
        <w:rPr>
          <w:rFonts w:hint="eastAsia" w:ascii="宋体" w:hAnsi="宋体"/>
          <w:szCs w:val="24"/>
        </w:rPr>
        <w:t>指数；</w:t>
      </w:r>
    </w:p>
    <w:p>
      <w:pPr>
        <w:ind w:firstLine="480"/>
        <w:jc w:val="left"/>
        <w:rPr>
          <w:rFonts w:ascii="宋体" w:hAnsi="宋体"/>
          <w:szCs w:val="24"/>
        </w:rPr>
      </w:pPr>
      <w:r>
        <w:rPr>
          <w:rFonts w:hint="eastAsia" w:ascii="宋体" w:hAnsi="宋体"/>
          <w:szCs w:val="24"/>
        </w:rPr>
        <w:t>（</w:t>
      </w:r>
      <w:r>
        <w:rPr>
          <w:rFonts w:ascii="宋体" w:hAnsi="宋体"/>
          <w:szCs w:val="24"/>
        </w:rPr>
        <w:t>6</w:t>
      </w:r>
      <w:r>
        <w:rPr>
          <w:rFonts w:hint="eastAsia" w:ascii="宋体" w:hAnsi="宋体"/>
          <w:szCs w:val="24"/>
        </w:rPr>
        <w:t>)可通过光纤和工业环网连接系统主机和井下</w:t>
      </w:r>
      <w:r>
        <w:rPr>
          <w:rFonts w:ascii="宋体" w:hAnsi="宋体"/>
          <w:szCs w:val="24"/>
        </w:rPr>
        <w:t>各监测</w:t>
      </w:r>
      <w:r>
        <w:rPr>
          <w:rFonts w:hint="eastAsia" w:ascii="宋体" w:hAnsi="宋体"/>
          <w:szCs w:val="24"/>
        </w:rPr>
        <w:t>主站</w:t>
      </w:r>
      <w:r>
        <w:rPr>
          <w:rFonts w:ascii="宋体" w:hAnsi="宋体"/>
          <w:szCs w:val="24"/>
        </w:rPr>
        <w:t>，达到实时数据传输和监测目的</w:t>
      </w:r>
      <w:r>
        <w:rPr>
          <w:rFonts w:hint="eastAsia" w:ascii="宋体" w:hAnsi="宋体"/>
          <w:szCs w:val="24"/>
        </w:rPr>
        <w:t>；</w:t>
      </w:r>
    </w:p>
    <w:p>
      <w:pPr>
        <w:ind w:firstLine="480"/>
        <w:jc w:val="left"/>
        <w:rPr>
          <w:rFonts w:ascii="宋体" w:hAnsi="宋体"/>
          <w:szCs w:val="24"/>
        </w:rPr>
      </w:pPr>
      <w:r>
        <w:rPr>
          <w:rFonts w:hint="eastAsia" w:ascii="宋体" w:hAnsi="宋体"/>
          <w:szCs w:val="24"/>
        </w:rPr>
        <w:t>（</w:t>
      </w:r>
      <w:r>
        <w:rPr>
          <w:rFonts w:ascii="宋体" w:hAnsi="宋体"/>
          <w:szCs w:val="24"/>
        </w:rPr>
        <w:t>7）</w:t>
      </w:r>
      <w:r>
        <w:rPr>
          <w:rFonts w:hint="eastAsia" w:ascii="宋体" w:hAnsi="宋体"/>
          <w:szCs w:val="24"/>
        </w:rPr>
        <w:t>矿用隔爆兼本安型井下火灾监测主站</w:t>
      </w:r>
      <w:r>
        <w:rPr>
          <w:rFonts w:ascii="宋体" w:hAnsi="宋体"/>
          <w:szCs w:val="24"/>
        </w:rPr>
        <w:t>需实现采样、设置、转换、传输、分析、监测、独立的管路压力及流量监测这些功能，</w:t>
      </w:r>
      <w:r>
        <w:rPr>
          <w:rFonts w:hint="eastAsia" w:ascii="宋体" w:hAnsi="宋体"/>
          <w:szCs w:val="24"/>
        </w:rPr>
        <w:t>主站</w:t>
      </w:r>
      <w:r>
        <w:rPr>
          <w:rFonts w:ascii="宋体" w:hAnsi="宋体"/>
          <w:szCs w:val="24"/>
        </w:rPr>
        <w:t>的抽气采样泵、采样、分析、系统校准等工作均可通过电脑控制自动完成，并可实现远程自动监测和控制</w:t>
      </w:r>
      <w:r>
        <w:rPr>
          <w:rFonts w:hint="eastAsia" w:ascii="宋体" w:hAnsi="宋体"/>
          <w:szCs w:val="24"/>
        </w:rPr>
        <w:t>；</w:t>
      </w:r>
    </w:p>
    <w:p>
      <w:pPr>
        <w:ind w:firstLine="480"/>
        <w:jc w:val="left"/>
        <w:rPr>
          <w:rFonts w:ascii="宋体" w:hAnsi="宋体"/>
          <w:szCs w:val="24"/>
        </w:rPr>
      </w:pPr>
      <w:r>
        <w:rPr>
          <w:rFonts w:hint="eastAsia" w:ascii="宋体" w:hAnsi="宋体"/>
          <w:szCs w:val="24"/>
        </w:rPr>
        <w:t>（8</w:t>
      </w:r>
      <w:bookmarkStart w:id="7" w:name="_Toc475517216"/>
      <w:r>
        <w:rPr>
          <w:rFonts w:hint="eastAsia" w:ascii="宋体" w:hAnsi="宋体"/>
          <w:szCs w:val="24"/>
        </w:rPr>
        <w:t>）</w:t>
      </w:r>
      <w:r>
        <w:rPr>
          <w:rFonts w:hint="eastAsia" w:hAnsi="宋体"/>
          <w:szCs w:val="24"/>
        </w:rPr>
        <w:t>系统必须按照</w:t>
      </w:r>
      <w:r>
        <w:rPr>
          <w:rFonts w:hint="eastAsia" w:hAnsi="宋体"/>
          <w:szCs w:val="24"/>
          <w:lang w:val="en-US" w:eastAsia="zh-CN"/>
        </w:rPr>
        <w:t>16</w:t>
      </w:r>
      <w:r>
        <w:rPr>
          <w:rFonts w:hint="eastAsia" w:hAnsi="宋体"/>
          <w:szCs w:val="24"/>
        </w:rPr>
        <w:t>路束管观测点建设，单台监测主站必须具有16路监测能力，系统具有主站数量扩容功能。</w:t>
      </w:r>
    </w:p>
    <w:p>
      <w:pPr>
        <w:pStyle w:val="16"/>
        <w:spacing w:line="360" w:lineRule="auto"/>
        <w:ind w:firstLine="480"/>
        <w:rPr>
          <w:rFonts w:hAnsi="宋体"/>
          <w:szCs w:val="24"/>
        </w:rPr>
      </w:pPr>
      <w:r>
        <w:rPr>
          <w:rFonts w:hint="eastAsia" w:hAnsi="宋体"/>
          <w:szCs w:val="24"/>
        </w:rPr>
        <w:t>（9）监测数据必须能通过矿井现有井下环网传输至地面，能分别在地面和井下对系统参数进行设置，能远程和就地控制系统运行，具备软硬件及辅助设备自检功能，出现故障自动停机保护和报警。</w:t>
      </w:r>
    </w:p>
    <w:p>
      <w:pPr>
        <w:ind w:firstLine="480"/>
      </w:pPr>
      <w:r>
        <w:rPr>
          <w:rFonts w:hint="eastAsia"/>
        </w:rPr>
        <w:t>（1</w:t>
      </w:r>
      <w:r>
        <w:t>0</w:t>
      </w:r>
      <w:r>
        <w:rPr>
          <w:rFonts w:hint="eastAsia"/>
        </w:rPr>
        <w:t>）必须满足属地要求的束管监测系统联网上传数据格式要求。</w:t>
      </w:r>
    </w:p>
    <w:p>
      <w:pPr>
        <w:ind w:firstLine="480"/>
      </w:pPr>
      <w:r>
        <w:rPr>
          <w:rFonts w:hint="eastAsia"/>
        </w:rPr>
        <w:t>（1</w:t>
      </w:r>
      <w:r>
        <w:t>1</w:t>
      </w:r>
      <w:r>
        <w:rPr>
          <w:rFonts w:hint="eastAsia"/>
        </w:rPr>
        <w:t>）系统必须具备对</w:t>
      </w:r>
      <w:r>
        <w:t>超标的特征数据</w:t>
      </w:r>
      <w:r>
        <w:rPr>
          <w:rFonts w:hint="eastAsia"/>
        </w:rPr>
        <w:t>的自动</w:t>
      </w:r>
      <w:r>
        <w:t>报警</w:t>
      </w:r>
      <w:r>
        <w:rPr>
          <w:rFonts w:hint="eastAsia"/>
        </w:rPr>
        <w:t>功能。</w:t>
      </w:r>
    </w:p>
    <w:p>
      <w:pPr>
        <w:ind w:firstLine="480"/>
        <w:rPr>
          <w:rFonts w:hint="eastAsia"/>
        </w:rPr>
      </w:pPr>
      <w:r>
        <w:rPr>
          <w:rFonts w:hint="eastAsia"/>
        </w:rPr>
        <w:t>（1</w:t>
      </w:r>
      <w:r>
        <w:t>2</w:t>
      </w:r>
      <w:r>
        <w:rPr>
          <w:rFonts w:hint="eastAsia"/>
        </w:rPr>
        <w:t>）系统必须具备CO气体上升趋势报警（趋势报警）功能</w:t>
      </w:r>
      <w:r>
        <w:rPr>
          <w:rFonts w:hint="eastAsia"/>
          <w:lang w:eastAsia="zh-CN"/>
        </w:rPr>
        <w:t>。</w:t>
      </w:r>
      <w:r>
        <w:rPr>
          <w:rFonts w:hint="eastAsia" w:ascii="宋体" w:hAnsi="Courier New" w:cs="Times New Roman"/>
          <w:kern w:val="0"/>
          <w:sz w:val="24"/>
          <w:szCs w:val="20"/>
          <w:u w:val="none"/>
          <w:lang w:val="en-US" w:eastAsia="zh-CN" w:bidi="ar-SA"/>
        </w:rPr>
        <w:t>具备</w:t>
      </w:r>
      <w:r>
        <w:rPr>
          <w:rFonts w:hint="eastAsia" w:ascii="宋体" w:hAnsi="Courier New" w:eastAsia="宋体" w:cs="Times New Roman"/>
          <w:kern w:val="0"/>
          <w:sz w:val="24"/>
          <w:szCs w:val="20"/>
          <w:u w:val="none"/>
          <w:lang w:val="en-US" w:eastAsia="zh-CN" w:bidi="ar-SA"/>
        </w:rPr>
        <w:t>可视化监测预警、智能化火情预警与故障诊断、自动化中央控制、历史数据分析等功能</w:t>
      </w:r>
      <w:r>
        <w:rPr>
          <w:rFonts w:hint="eastAsia"/>
          <w:u w:val="none"/>
        </w:rPr>
        <w:t>。</w:t>
      </w:r>
    </w:p>
    <w:p>
      <w:pPr>
        <w:ind w:firstLine="480"/>
      </w:pPr>
      <w:r>
        <w:rPr>
          <w:rFonts w:hint="eastAsia"/>
        </w:rPr>
        <w:t>（1</w:t>
      </w:r>
      <w:r>
        <w:t>3</w:t>
      </w:r>
      <w:r>
        <w:rPr>
          <w:rFonts w:hint="eastAsia"/>
        </w:rPr>
        <w:t>）系统必须具备开机自检功能</w:t>
      </w:r>
      <w:r>
        <w:rPr>
          <w:rFonts w:hint="eastAsia"/>
          <w:lang w:eastAsia="zh-CN"/>
        </w:rPr>
        <w:t>，</w:t>
      </w:r>
      <w:r>
        <w:rPr>
          <w:rFonts w:hint="eastAsia"/>
          <w:lang w:val="en-US" w:eastAsia="zh-CN"/>
        </w:rPr>
        <w:t>设备故障报警功能</w:t>
      </w:r>
      <w:r>
        <w:rPr>
          <w:rFonts w:hint="eastAsia"/>
        </w:rPr>
        <w:t>。</w:t>
      </w:r>
    </w:p>
    <w:p>
      <w:pPr>
        <w:ind w:firstLine="480"/>
        <w:rPr>
          <w:rFonts w:hint="eastAsia"/>
        </w:rPr>
      </w:pPr>
      <w:r>
        <w:rPr>
          <w:rFonts w:hint="eastAsia"/>
        </w:rPr>
        <w:t>（1</w:t>
      </w:r>
      <w:r>
        <w:t>4</w:t>
      </w:r>
      <w:r>
        <w:rPr>
          <w:rFonts w:hint="eastAsia"/>
        </w:rPr>
        <w:t>）系统具备向矿综合平台提供数据接口或者按照平台要求发送要求格式数据包的功能。</w:t>
      </w:r>
    </w:p>
    <w:p>
      <w:pPr>
        <w:ind w:firstLine="480"/>
      </w:pPr>
      <w:r>
        <w:rPr>
          <w:rFonts w:hint="eastAsia"/>
        </w:rPr>
        <w:t>（1</w:t>
      </w:r>
      <w:r>
        <w:t>5</w:t>
      </w:r>
      <w:r>
        <w:rPr>
          <w:rFonts w:hint="eastAsia"/>
        </w:rPr>
        <w:t>）</w:t>
      </w:r>
      <w:r>
        <w:rPr>
          <w:rFonts w:hint="eastAsia" w:ascii="宋体" w:hAnsi="宋体"/>
          <w:szCs w:val="24"/>
        </w:rPr>
        <w:t>具有“国际领先”的专家鉴定结果。</w:t>
      </w:r>
    </w:p>
    <w:p>
      <w:pPr>
        <w:ind w:firstLine="480"/>
        <w:jc w:val="left"/>
        <w:rPr>
          <w:rFonts w:ascii="宋体" w:hAnsi="宋体"/>
          <w:szCs w:val="24"/>
        </w:rPr>
      </w:pPr>
      <w:r>
        <w:rPr>
          <w:rFonts w:ascii="宋体" w:hAnsi="宋体"/>
          <w:szCs w:val="24"/>
        </w:rPr>
        <w:t>2</w:t>
      </w:r>
      <w:r>
        <w:rPr>
          <w:rFonts w:hint="eastAsia" w:ascii="宋体" w:hAnsi="宋体"/>
          <w:szCs w:val="24"/>
        </w:rPr>
        <w:t>.</w:t>
      </w:r>
      <w:r>
        <w:rPr>
          <w:rFonts w:hint="eastAsia" w:hAnsi="宋体"/>
          <w:szCs w:val="24"/>
        </w:rPr>
        <w:t>煤矿井下束管正压输气泵站</w:t>
      </w:r>
      <w:bookmarkEnd w:id="7"/>
    </w:p>
    <w:p>
      <w:pPr>
        <w:ind w:firstLine="480"/>
        <w:jc w:val="left"/>
        <w:rPr>
          <w:rFonts w:ascii="宋体" w:hAnsi="宋体"/>
          <w:szCs w:val="24"/>
        </w:rPr>
      </w:pPr>
      <w:r>
        <w:rPr>
          <w:rFonts w:hint="eastAsia" w:ascii="宋体" w:hAnsi="宋体"/>
          <w:szCs w:val="24"/>
        </w:rPr>
        <w:t>（1）多功能使用，同时兼具正压输气、负压输气功能；</w:t>
      </w:r>
    </w:p>
    <w:p>
      <w:pPr>
        <w:ind w:firstLine="480"/>
        <w:jc w:val="left"/>
        <w:rPr>
          <w:rFonts w:ascii="宋体" w:hAnsi="宋体"/>
          <w:szCs w:val="24"/>
        </w:rPr>
      </w:pPr>
      <w:r>
        <w:rPr>
          <w:rFonts w:hint="eastAsia" w:ascii="宋体" w:hAnsi="宋体"/>
          <w:szCs w:val="24"/>
        </w:rPr>
        <w:t>（2）双泵头设计，一个泵站可以同时采集两个地点，或并联使用提高可靠性；</w:t>
      </w:r>
    </w:p>
    <w:p>
      <w:pPr>
        <w:ind w:firstLine="480"/>
        <w:jc w:val="left"/>
        <w:rPr>
          <w:rFonts w:ascii="宋体" w:hAnsi="宋体"/>
          <w:szCs w:val="24"/>
        </w:rPr>
      </w:pPr>
      <w:r>
        <w:rPr>
          <w:rFonts w:hint="eastAsia" w:ascii="宋体" w:hAnsi="宋体"/>
          <w:szCs w:val="24"/>
        </w:rPr>
        <w:t>（3）自动滤水、排水功能，能适应各种复杂工作环境；</w:t>
      </w:r>
    </w:p>
    <w:p>
      <w:pPr>
        <w:ind w:firstLine="480"/>
        <w:jc w:val="left"/>
        <w:rPr>
          <w:rFonts w:ascii="宋体" w:hAnsi="宋体"/>
          <w:szCs w:val="24"/>
        </w:rPr>
      </w:pPr>
      <w:r>
        <w:rPr>
          <w:rFonts w:hint="eastAsia" w:ascii="宋体" w:hAnsi="宋体"/>
          <w:szCs w:val="24"/>
        </w:rPr>
        <w:t>（4）断电自动泄压保护，自动散热设计，延长数十倍使用寿命，满足24小时不间断工作要求；</w:t>
      </w:r>
    </w:p>
    <w:p>
      <w:pPr>
        <w:ind w:firstLine="480"/>
        <w:jc w:val="left"/>
        <w:rPr>
          <w:rFonts w:ascii="宋体" w:hAnsi="宋体"/>
          <w:szCs w:val="24"/>
        </w:rPr>
      </w:pPr>
      <w:r>
        <w:rPr>
          <w:rFonts w:hint="eastAsia" w:ascii="宋体" w:hAnsi="宋体"/>
          <w:szCs w:val="24"/>
        </w:rPr>
        <w:t>（5）断电旁通功能，井下断电后仍然，仍然可保持使用井上负压取气的通路，更容易配合其他各种系统的使用；</w:t>
      </w:r>
    </w:p>
    <w:p>
      <w:pPr>
        <w:pStyle w:val="2"/>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ascii="宋体" w:hAnsi="宋体"/>
          <w:szCs w:val="24"/>
        </w:rPr>
      </w:pPr>
      <w:r>
        <w:rPr>
          <w:rFonts w:hint="eastAsia" w:ascii="宋体" w:hAnsi="宋体"/>
          <w:szCs w:val="24"/>
        </w:rPr>
        <w:t>（6）网络远程控制，配合专用的网络远程控制单元和系统软件，可以实现井上控制输气泵站的启停，并监控运行其状态。</w:t>
      </w:r>
    </w:p>
    <w:p>
      <w:pPr>
        <w:pStyle w:val="16"/>
        <w:spacing w:line="360" w:lineRule="auto"/>
        <w:ind w:firstLine="480"/>
        <w:rPr>
          <w:rFonts w:hAnsi="宋体"/>
          <w:kern w:val="2"/>
          <w:szCs w:val="24"/>
        </w:rPr>
      </w:pPr>
      <w:r>
        <w:rPr>
          <w:rFonts w:hint="eastAsia" w:hAnsi="宋体"/>
          <w:kern w:val="2"/>
          <w:szCs w:val="24"/>
        </w:rPr>
        <w:t>3.矿用隔爆型电控箱</w:t>
      </w:r>
    </w:p>
    <w:p>
      <w:pPr>
        <w:ind w:firstLine="480"/>
      </w:pPr>
      <w:r>
        <w:rPr>
          <w:rFonts w:hint="eastAsia" w:ascii="宋体" w:hAnsi="宋体"/>
          <w:szCs w:val="24"/>
        </w:rPr>
        <w:t>（</w:t>
      </w:r>
      <w:r>
        <w:rPr>
          <w:rFonts w:hint="eastAsia"/>
        </w:rPr>
        <w:t>1）电控箱具有过载、短路、三相不平衡、漏电闭锁等各种保护；</w:t>
      </w:r>
    </w:p>
    <w:p>
      <w:pPr>
        <w:ind w:firstLine="480"/>
      </w:pPr>
      <w:r>
        <w:rPr>
          <w:rFonts w:hint="eastAsia" w:ascii="宋体" w:hAnsi="宋体"/>
          <w:szCs w:val="24"/>
        </w:rPr>
        <w:t>（</w:t>
      </w:r>
      <w:r>
        <w:rPr>
          <w:rFonts w:hint="eastAsia"/>
        </w:rPr>
        <w:t>2）过压保护：瞬时过电压由主回路接入阻容吸收装置实现；</w:t>
      </w:r>
    </w:p>
    <w:p>
      <w:pPr>
        <w:ind w:firstLine="480"/>
      </w:pPr>
      <w:r>
        <w:rPr>
          <w:rFonts w:hint="eastAsia" w:ascii="宋体" w:hAnsi="宋体"/>
          <w:szCs w:val="24"/>
        </w:rPr>
        <w:t>（</w:t>
      </w:r>
      <w:r>
        <w:rPr>
          <w:rFonts w:hint="eastAsia"/>
        </w:rPr>
        <w:t>3）电控箱具有近控、微色谱主站控制起动、停止功能；</w:t>
      </w:r>
    </w:p>
    <w:p>
      <w:pPr>
        <w:ind w:firstLine="480"/>
      </w:pPr>
      <w:r>
        <w:rPr>
          <w:rFonts w:hint="eastAsia" w:ascii="宋体" w:hAnsi="宋体"/>
          <w:szCs w:val="24"/>
        </w:rPr>
        <w:t>（</w:t>
      </w:r>
      <w:r>
        <w:rPr>
          <w:rFonts w:hint="eastAsia"/>
        </w:rPr>
        <w:t>4）电控箱具有近控紧急停止和换相功能；</w:t>
      </w:r>
    </w:p>
    <w:p>
      <w:pPr>
        <w:ind w:firstLine="480"/>
      </w:pPr>
      <w:r>
        <w:rPr>
          <w:rFonts w:hint="eastAsia" w:ascii="宋体" w:hAnsi="宋体"/>
          <w:szCs w:val="24"/>
        </w:rPr>
        <w:t>（</w:t>
      </w:r>
      <w:r>
        <w:rPr>
          <w:rFonts w:hint="eastAsia"/>
        </w:rPr>
        <w:t>5）电寿命AC－3负荷60万次；</w:t>
      </w:r>
    </w:p>
    <w:p>
      <w:pPr>
        <w:ind w:firstLine="480"/>
      </w:pPr>
      <w:r>
        <w:rPr>
          <w:rFonts w:hint="eastAsia" w:ascii="宋体" w:hAnsi="宋体"/>
          <w:szCs w:val="24"/>
        </w:rPr>
        <w:t>（</w:t>
      </w:r>
      <w:r>
        <w:rPr>
          <w:rFonts w:hint="eastAsia"/>
        </w:rPr>
        <w:t>6）机械寿命不少于300万次；</w:t>
      </w:r>
    </w:p>
    <w:p>
      <w:pPr>
        <w:ind w:firstLine="480"/>
      </w:pPr>
      <w:r>
        <w:rPr>
          <w:rFonts w:hint="eastAsia" w:ascii="宋体" w:hAnsi="宋体"/>
          <w:szCs w:val="24"/>
        </w:rPr>
        <w:t>（</w:t>
      </w:r>
      <w:r>
        <w:rPr>
          <w:rFonts w:hint="eastAsia"/>
        </w:rPr>
        <w:t>7）隔离换相开关分断能力:1Ie；</w:t>
      </w:r>
    </w:p>
    <w:p>
      <w:pPr>
        <w:ind w:firstLine="480"/>
      </w:pPr>
      <w:r>
        <w:rPr>
          <w:rFonts w:hint="eastAsia" w:ascii="宋体" w:hAnsi="宋体"/>
          <w:szCs w:val="24"/>
        </w:rPr>
        <w:t>（</w:t>
      </w:r>
      <w:r>
        <w:rPr>
          <w:rFonts w:hint="eastAsia"/>
        </w:rPr>
        <w:t>8）通讯协议:微色谱主站与矿用隔爆型电控箱采用串口通讯，控制泵站启停。（注：区分网控时控和串口通讯区别和确定电源电压）</w:t>
      </w:r>
    </w:p>
    <w:p>
      <w:pPr>
        <w:pStyle w:val="16"/>
        <w:ind w:firstLine="480"/>
        <w:rPr>
          <w:u w:val="none"/>
        </w:rPr>
      </w:pPr>
      <w:r>
        <w:rPr>
          <w:rFonts w:hint="eastAsia"/>
          <w:u w:val="none"/>
        </w:rPr>
        <w:t>4</w:t>
      </w:r>
      <w:r>
        <w:rPr>
          <w:u w:val="none"/>
        </w:rPr>
        <w:t>.</w:t>
      </w:r>
      <w:r>
        <w:rPr>
          <w:rFonts w:hint="eastAsia"/>
          <w:u w:val="none"/>
        </w:rPr>
        <w:t>数据对接</w:t>
      </w:r>
    </w:p>
    <w:p>
      <w:pPr>
        <w:ind w:firstLine="199" w:firstLineChars="83"/>
      </w:pPr>
      <w:r>
        <w:rPr>
          <w:rFonts w:hint="eastAsia" w:cs="Times New Roman"/>
          <w:i w:val="0"/>
          <w:iCs w:val="0"/>
          <w:u w:val="none"/>
          <w:lang w:val="en-US" w:eastAsia="zh-CN"/>
        </w:rPr>
        <w:t>能与我矿未来构建智能化平台实现通讯，具备数据上传及实时控制功能。并能按鄂尔多斯市能源局要求，与鄂尔多斯市煤炭安全监管平台对接，实现数据上传。</w:t>
      </w:r>
    </w:p>
    <w:bookmarkEnd w:id="1"/>
    <w:bookmarkEnd w:id="2"/>
    <w:bookmarkEnd w:id="3"/>
    <w:bookmarkEnd w:id="4"/>
    <w:bookmarkEnd w:id="5"/>
    <w:bookmarkEnd w:id="6"/>
    <w:p>
      <w:pPr>
        <w:pStyle w:val="5"/>
        <w:ind w:firstLine="643"/>
      </w:pPr>
      <w:r>
        <w:rPr>
          <w:rFonts w:hint="eastAsia"/>
          <w:lang w:val="en-US" w:eastAsia="zh-CN"/>
        </w:rPr>
        <w:t>六</w:t>
      </w:r>
      <w:r>
        <w:rPr>
          <w:rFonts w:hint="eastAsia"/>
        </w:rPr>
        <w:t>、技术参数</w:t>
      </w:r>
    </w:p>
    <w:p>
      <w:pPr>
        <w:ind w:firstLine="480"/>
        <w:rPr>
          <w:rFonts w:ascii="Cambria" w:hAnsi="Cambria"/>
          <w:szCs w:val="32"/>
        </w:rPr>
      </w:pPr>
      <w:r>
        <w:rPr>
          <w:rFonts w:hint="eastAsia"/>
        </w:rPr>
        <w:t>1.矿用本安型井下火灾监测主站</w:t>
      </w:r>
    </w:p>
    <w:p>
      <w:pPr>
        <w:ind w:firstLine="436" w:firstLineChars="182"/>
      </w:pPr>
      <w:r>
        <w:rPr>
          <w:rFonts w:hint="eastAsia" w:ascii="宋体" w:hAnsi="宋体"/>
          <w:szCs w:val="24"/>
        </w:rPr>
        <w:t>（</w:t>
      </w:r>
      <w:r>
        <w:rPr>
          <w:rFonts w:hint="eastAsia"/>
        </w:rPr>
        <w:t>1）分析模块：采用安捷伦高精度微色谱分析模块；</w:t>
      </w:r>
    </w:p>
    <w:p>
      <w:pPr>
        <w:ind w:firstLine="480"/>
      </w:pPr>
      <w:r>
        <w:rPr>
          <w:rFonts w:hint="eastAsia" w:ascii="宋体" w:hAnsi="宋体"/>
          <w:szCs w:val="24"/>
        </w:rPr>
        <w:t>（</w:t>
      </w:r>
      <w:r>
        <w:rPr>
          <w:rFonts w:hint="eastAsia"/>
        </w:rPr>
        <w:t>2）束管路数：标配16路（可人工扩展监测路数）；</w:t>
      </w:r>
    </w:p>
    <w:p>
      <w:pPr>
        <w:ind w:firstLine="436" w:firstLineChars="182"/>
      </w:pPr>
      <w:r>
        <w:rPr>
          <w:rFonts w:hint="eastAsia" w:ascii="宋体" w:hAnsi="宋体"/>
          <w:szCs w:val="24"/>
        </w:rPr>
        <w:t>（</w:t>
      </w:r>
      <w:r>
        <w:rPr>
          <w:rFonts w:hint="eastAsia"/>
        </w:rPr>
        <w:t>3）分析气体成份：标配CO、CO2、CH4、C2H4、C2H6、C2H2、O2、N2、H</w:t>
      </w:r>
      <w:r>
        <w:t>2</w:t>
      </w:r>
      <w:r>
        <w:rPr>
          <w:rFonts w:hint="eastAsia"/>
        </w:rPr>
        <w:t>、C</w:t>
      </w:r>
      <w:r>
        <w:t>3H6</w:t>
      </w:r>
      <w:r>
        <w:rPr>
          <w:rFonts w:hint="eastAsia"/>
        </w:rPr>
        <w:t>；</w:t>
      </w:r>
    </w:p>
    <w:p>
      <w:pPr>
        <w:ind w:firstLine="480"/>
      </w:pPr>
      <w:r>
        <w:rPr>
          <w:rFonts w:hint="eastAsia" w:ascii="宋体" w:hAnsi="宋体"/>
          <w:szCs w:val="24"/>
        </w:rPr>
        <w:t>（</w:t>
      </w:r>
      <w:r>
        <w:rPr>
          <w:rFonts w:hint="eastAsia"/>
        </w:rPr>
        <w:t>4）分析精度：色谱仪检测精度：0.1ppm;系统相对精度≤1.5%；</w:t>
      </w:r>
    </w:p>
    <w:p>
      <w:pPr>
        <w:ind w:firstLine="480"/>
      </w:pPr>
      <w:r>
        <w:rPr>
          <w:rFonts w:hint="eastAsia" w:ascii="宋体" w:hAnsi="宋体"/>
          <w:szCs w:val="24"/>
        </w:rPr>
        <w:t>（</w:t>
      </w:r>
      <w:r>
        <w:rPr>
          <w:rFonts w:hint="eastAsia"/>
        </w:rPr>
        <w:t>5）分析范围：0～100%；</w:t>
      </w:r>
    </w:p>
    <w:p>
      <w:pPr>
        <w:ind w:firstLine="480"/>
      </w:pPr>
      <w:r>
        <w:rPr>
          <w:rFonts w:hint="eastAsia" w:ascii="宋体" w:hAnsi="宋体"/>
          <w:szCs w:val="24"/>
        </w:rPr>
        <w:t>（</w:t>
      </w:r>
      <w:r>
        <w:rPr>
          <w:rFonts w:hint="eastAsia"/>
        </w:rPr>
        <w:t>6）分析时间：单路分析时间小于3min；</w:t>
      </w:r>
    </w:p>
    <w:p>
      <w:pPr>
        <w:ind w:firstLine="436" w:firstLineChars="182"/>
        <w:rPr>
          <w:rFonts w:ascii="宋体" w:hAnsi="宋体"/>
          <w:szCs w:val="24"/>
        </w:rPr>
      </w:pPr>
      <w:r>
        <w:rPr>
          <w:rFonts w:hint="eastAsia" w:ascii="宋体" w:hAnsi="宋体"/>
          <w:szCs w:val="24"/>
        </w:rPr>
        <w:t>（</w:t>
      </w:r>
      <w:r>
        <w:rPr>
          <w:rFonts w:hint="eastAsia"/>
        </w:rPr>
        <w:t>7</w:t>
      </w:r>
      <w:r>
        <w:rPr>
          <w:rFonts w:hint="eastAsia" w:ascii="宋体" w:hAnsi="宋体"/>
          <w:szCs w:val="24"/>
        </w:rPr>
        <w:t>）具备开机自检功能；</w:t>
      </w:r>
    </w:p>
    <w:p>
      <w:pPr>
        <w:ind w:firstLine="480"/>
      </w:pPr>
      <w:r>
        <w:rPr>
          <w:rFonts w:hint="eastAsia" w:ascii="宋体" w:hAnsi="宋体"/>
          <w:szCs w:val="24"/>
        </w:rPr>
        <w:t>（</w:t>
      </w:r>
      <w:r>
        <w:t>8</w:t>
      </w:r>
      <w:r>
        <w:rPr>
          <w:rFonts w:hint="eastAsia"/>
        </w:rPr>
        <w:t>）具备人工采样分析功能；</w:t>
      </w:r>
    </w:p>
    <w:p>
      <w:pPr>
        <w:ind w:firstLine="480"/>
      </w:pPr>
      <w:r>
        <w:rPr>
          <w:rFonts w:hint="eastAsia" w:ascii="宋体" w:hAnsi="宋体"/>
          <w:szCs w:val="24"/>
        </w:rPr>
        <w:t>（</w:t>
      </w:r>
      <w:r>
        <w:t>9</w:t>
      </w:r>
      <w:r>
        <w:rPr>
          <w:rFonts w:hint="eastAsia"/>
        </w:rPr>
        <w:t>）运行时间：正常供电情况下能够24小时连续循环检测/人工设定；</w:t>
      </w:r>
    </w:p>
    <w:p>
      <w:pPr>
        <w:ind w:firstLine="480"/>
      </w:pPr>
      <w:r>
        <w:rPr>
          <w:rFonts w:hint="eastAsia" w:ascii="宋体" w:hAnsi="宋体"/>
          <w:szCs w:val="24"/>
        </w:rPr>
        <w:t>（</w:t>
      </w:r>
      <w:r>
        <w:t>10</w:t>
      </w:r>
      <w:r>
        <w:rPr>
          <w:rFonts w:hint="eastAsia"/>
        </w:rPr>
        <w:t>）输气方式：正压输气传输，负压抽气传输；</w:t>
      </w:r>
    </w:p>
    <w:p>
      <w:pPr>
        <w:ind w:firstLine="480"/>
      </w:pPr>
      <w:r>
        <w:rPr>
          <w:rFonts w:hint="eastAsia" w:ascii="宋体" w:hAnsi="宋体"/>
          <w:szCs w:val="24"/>
        </w:rPr>
        <w:t>（</w:t>
      </w:r>
      <w:r>
        <w:rPr>
          <w:rFonts w:hint="eastAsia"/>
        </w:rPr>
        <w:t>1</w:t>
      </w:r>
      <w:r>
        <w:t>1</w:t>
      </w:r>
      <w:r>
        <w:rPr>
          <w:rFonts w:hint="eastAsia"/>
        </w:rPr>
        <w:t>）载气类型：进口高纯氦气纯度99.999%；</w:t>
      </w:r>
    </w:p>
    <w:p>
      <w:pPr>
        <w:ind w:firstLine="480"/>
      </w:pPr>
      <w:r>
        <w:rPr>
          <w:rFonts w:hint="eastAsia" w:ascii="宋体" w:hAnsi="宋体"/>
          <w:szCs w:val="24"/>
        </w:rPr>
        <w:t>（</w:t>
      </w:r>
      <w:r>
        <w:rPr>
          <w:rFonts w:hint="eastAsia"/>
        </w:rPr>
        <w:t>1</w:t>
      </w:r>
      <w:r>
        <w:t>2</w:t>
      </w:r>
      <w:r>
        <w:rPr>
          <w:rFonts w:hint="eastAsia"/>
        </w:rPr>
        <w:t>）通讯接口：支持光纤或以太网接口；</w:t>
      </w:r>
    </w:p>
    <w:p>
      <w:pPr>
        <w:pStyle w:val="21"/>
        <w:ind w:left="120" w:leftChars="50" w:firstLine="360" w:firstLineChars="150"/>
        <w:jc w:val="left"/>
      </w:pPr>
      <w:r>
        <w:rPr>
          <w:rFonts w:hint="eastAsia" w:ascii="宋体" w:hAnsi="宋体"/>
          <w:szCs w:val="24"/>
        </w:rPr>
        <w:t>（1</w:t>
      </w:r>
      <w:r>
        <w:t>3</w:t>
      </w:r>
      <w:r>
        <w:rPr>
          <w:rFonts w:hint="eastAsia"/>
        </w:rPr>
        <w:t>）具备显示设备状态参数、输出结果的功能；</w:t>
      </w:r>
    </w:p>
    <w:p>
      <w:pPr>
        <w:ind w:firstLine="480" w:firstLineChars="200"/>
      </w:pPr>
      <w:r>
        <w:rPr>
          <w:rFonts w:hint="eastAsia" w:ascii="宋体" w:hAnsi="宋体"/>
          <w:szCs w:val="24"/>
        </w:rPr>
        <w:t>（</w:t>
      </w:r>
      <w:r>
        <w:rPr>
          <w:rFonts w:hint="eastAsia"/>
        </w:rPr>
        <w:t>1</w:t>
      </w:r>
      <w:r>
        <w:t>4</w:t>
      </w:r>
      <w:r>
        <w:rPr>
          <w:rFonts w:hint="eastAsia"/>
        </w:rPr>
        <w:t>）操作方式灵活，本主站自带嵌入式电脑可在井下直接对主站进行操控，具有井下数据显示功能，可实现井上直接控制；</w:t>
      </w:r>
    </w:p>
    <w:p>
      <w:pPr>
        <w:ind w:firstLine="436" w:firstLineChars="182"/>
      </w:pPr>
      <w:r>
        <w:rPr>
          <w:rFonts w:hint="eastAsia" w:ascii="宋体" w:hAnsi="宋体"/>
          <w:szCs w:val="24"/>
        </w:rPr>
        <w:t>（</w:t>
      </w:r>
      <w:r>
        <w:rPr>
          <w:rFonts w:hint="eastAsia"/>
        </w:rPr>
        <w:t>1</w:t>
      </w:r>
      <w:r>
        <w:t>5</w:t>
      </w:r>
      <w:r>
        <w:rPr>
          <w:rFonts w:hint="eastAsia"/>
        </w:rPr>
        <w:t>）</w:t>
      </w:r>
      <w:r>
        <w:t>具有自动报警功能</w:t>
      </w:r>
      <w:r>
        <w:rPr>
          <w:rFonts w:hint="eastAsia"/>
        </w:rPr>
        <w:t>，支持</w:t>
      </w:r>
      <w:r>
        <w:t>对超标的特征数据进行报警</w:t>
      </w:r>
      <w:r>
        <w:rPr>
          <w:rFonts w:hint="eastAsia"/>
        </w:rPr>
        <w:t>；</w:t>
      </w:r>
    </w:p>
    <w:p>
      <w:pPr>
        <w:ind w:firstLine="436" w:firstLineChars="182"/>
      </w:pPr>
      <w:r>
        <w:rPr>
          <w:rFonts w:hint="eastAsia"/>
        </w:rPr>
        <w:t>（1</w:t>
      </w:r>
      <w:r>
        <w:t>6</w:t>
      </w:r>
      <w:r>
        <w:rPr>
          <w:rFonts w:hint="eastAsia"/>
        </w:rPr>
        <w:t>）具有趋势报警功能；支持CO气体上升趋势报警；</w:t>
      </w:r>
    </w:p>
    <w:p>
      <w:pPr>
        <w:ind w:firstLine="480" w:firstLineChars="200"/>
        <w:rPr>
          <w:rFonts w:hint="eastAsia" w:cs="Times New Roman"/>
          <w:lang w:eastAsia="zh-CN"/>
        </w:rPr>
      </w:pPr>
      <w:r>
        <w:rPr>
          <w:rFonts w:hint="eastAsia" w:ascii="宋体" w:hAnsi="宋体"/>
          <w:szCs w:val="24"/>
        </w:rPr>
        <w:t>（</w:t>
      </w:r>
      <w:r>
        <w:rPr>
          <w:rFonts w:hint="eastAsia"/>
        </w:rPr>
        <w:t>1</w:t>
      </w:r>
      <w:r>
        <w:t>7</w:t>
      </w:r>
      <w:r>
        <w:rPr>
          <w:rFonts w:hint="eastAsia"/>
        </w:rPr>
        <w:t>）同时满足自动和手动进样，支持球胆分析功能，可在井下进行人工采样分析，具有远程专家协助操作等多种功能；</w:t>
      </w:r>
    </w:p>
    <w:p>
      <w:pPr>
        <w:pStyle w:val="21"/>
        <w:ind w:firstLine="480"/>
        <w:jc w:val="left"/>
        <w:rPr>
          <w:szCs w:val="24"/>
        </w:rPr>
      </w:pPr>
      <w:r>
        <w:rPr>
          <w:rFonts w:ascii="宋体" w:hAnsi="宋体"/>
          <w:szCs w:val="24"/>
        </w:rPr>
        <w:t>2</w:t>
      </w:r>
      <w:r>
        <w:rPr>
          <w:rFonts w:hint="eastAsia" w:ascii="宋体" w:hAnsi="宋体"/>
          <w:szCs w:val="24"/>
        </w:rPr>
        <w:t>.煤矿井下束管正压输气泵站</w:t>
      </w:r>
    </w:p>
    <w:p>
      <w:pPr>
        <w:ind w:firstLine="480"/>
      </w:pPr>
      <w:r>
        <w:rPr>
          <w:rFonts w:hint="eastAsia" w:ascii="宋体" w:hAnsi="宋体"/>
          <w:szCs w:val="24"/>
        </w:rPr>
        <w:t>（</w:t>
      </w:r>
      <w:r>
        <w:rPr>
          <w:rFonts w:hint="eastAsia"/>
        </w:rPr>
        <w:t>1）工作电压（V）：660、1140V（双电压）；</w:t>
      </w:r>
    </w:p>
    <w:p>
      <w:pPr>
        <w:ind w:firstLine="480"/>
      </w:pPr>
      <w:r>
        <w:rPr>
          <w:rFonts w:hint="eastAsia" w:ascii="宋体" w:hAnsi="宋体"/>
          <w:szCs w:val="24"/>
        </w:rPr>
        <w:t>（</w:t>
      </w:r>
      <w:r>
        <w:t>2</w:t>
      </w:r>
      <w:r>
        <w:rPr>
          <w:rFonts w:hint="eastAsia"/>
        </w:rPr>
        <w:t>）功率（KW)：≥0.55；</w:t>
      </w:r>
    </w:p>
    <w:p>
      <w:pPr>
        <w:ind w:firstLine="480"/>
      </w:pPr>
      <w:r>
        <w:rPr>
          <w:rFonts w:hint="eastAsia" w:ascii="宋体" w:hAnsi="宋体"/>
          <w:szCs w:val="24"/>
        </w:rPr>
        <w:t>（</w:t>
      </w:r>
      <w:r>
        <w:rPr>
          <w:rFonts w:hint="eastAsia"/>
        </w:rPr>
        <w:t>3）最大流量（L/min)：≥20；</w:t>
      </w:r>
    </w:p>
    <w:p>
      <w:pPr>
        <w:ind w:firstLine="480"/>
      </w:pPr>
      <w:r>
        <w:rPr>
          <w:rFonts w:hint="eastAsia" w:ascii="宋体" w:hAnsi="宋体"/>
          <w:szCs w:val="24"/>
        </w:rPr>
        <w:t>（</w:t>
      </w:r>
      <w:r>
        <w:rPr>
          <w:rFonts w:hint="eastAsia"/>
        </w:rPr>
        <w:t>4）输出压力（MPa)：≥0.4；</w:t>
      </w:r>
    </w:p>
    <w:p>
      <w:pPr>
        <w:ind w:firstLine="480"/>
        <w:rPr>
          <w:rFonts w:hint="eastAsia"/>
        </w:rPr>
      </w:pPr>
      <w:r>
        <w:rPr>
          <w:rFonts w:hint="eastAsia" w:ascii="宋体" w:hAnsi="宋体"/>
          <w:szCs w:val="24"/>
        </w:rPr>
        <w:t>（</w:t>
      </w:r>
      <w:r>
        <w:rPr>
          <w:rFonts w:hint="eastAsia"/>
        </w:rPr>
        <w:t>5）输气距离：正压≥10000m,负压≤</w:t>
      </w:r>
      <w:r>
        <w:rPr>
          <w:rFonts w:hint="eastAsia"/>
          <w:lang w:val="en-US" w:eastAsia="zh-CN"/>
        </w:rPr>
        <w:t>6</w:t>
      </w:r>
      <w:r>
        <w:rPr>
          <w:rFonts w:hint="eastAsia"/>
        </w:rPr>
        <w:t>000m；</w:t>
      </w:r>
    </w:p>
    <w:p>
      <w:pPr>
        <w:ind w:firstLine="480"/>
      </w:pPr>
      <w:r>
        <w:rPr>
          <w:rFonts w:hint="eastAsia" w:ascii="宋体" w:hAnsi="宋体"/>
          <w:szCs w:val="24"/>
        </w:rPr>
        <w:t>（</w:t>
      </w:r>
      <w:r>
        <w:rPr>
          <w:rFonts w:hint="eastAsia"/>
        </w:rPr>
        <w:t>6）自动滤尘功能，滤尘≤5μm；</w:t>
      </w:r>
    </w:p>
    <w:p>
      <w:pPr>
        <w:ind w:firstLine="480"/>
      </w:pPr>
      <w:r>
        <w:rPr>
          <w:rFonts w:hint="eastAsia" w:ascii="宋体" w:hAnsi="宋体"/>
          <w:szCs w:val="24"/>
        </w:rPr>
        <w:t>（</w:t>
      </w:r>
      <w:r>
        <w:rPr>
          <w:rFonts w:hint="eastAsia"/>
        </w:rPr>
        <w:t>7）额定转速（r/min）:1400；</w:t>
      </w:r>
    </w:p>
    <w:p>
      <w:pPr>
        <w:ind w:firstLine="480"/>
      </w:pPr>
      <w:r>
        <w:rPr>
          <w:rFonts w:hint="eastAsia" w:ascii="宋体" w:hAnsi="宋体"/>
          <w:szCs w:val="24"/>
        </w:rPr>
        <w:t>（</w:t>
      </w:r>
      <w:r>
        <w:rPr>
          <w:rFonts w:hint="eastAsia"/>
        </w:rPr>
        <w:t>8）噪声（dbA)）:85；</w:t>
      </w:r>
    </w:p>
    <w:p>
      <w:pPr>
        <w:ind w:firstLine="480"/>
      </w:pPr>
      <w:r>
        <w:rPr>
          <w:rFonts w:hint="eastAsia" w:ascii="宋体" w:hAnsi="宋体"/>
          <w:szCs w:val="24"/>
        </w:rPr>
        <w:t>（</w:t>
      </w:r>
      <w:r>
        <w:rPr>
          <w:rFonts w:hint="eastAsia"/>
        </w:rPr>
        <w:t>9）自动滤水排水功能自动泄压；</w:t>
      </w:r>
    </w:p>
    <w:p>
      <w:pPr>
        <w:ind w:firstLine="436" w:firstLineChars="182"/>
      </w:pPr>
      <w:r>
        <w:rPr>
          <w:rFonts w:hint="eastAsia" w:ascii="宋体" w:hAnsi="宋体"/>
          <w:szCs w:val="24"/>
        </w:rPr>
        <w:t>（</w:t>
      </w:r>
      <w:r>
        <w:rPr>
          <w:rFonts w:hint="eastAsia"/>
        </w:rPr>
        <w:t>1</w:t>
      </w:r>
      <w:r>
        <w:t>0</w:t>
      </w:r>
      <w:r>
        <w:rPr>
          <w:rFonts w:hint="eastAsia"/>
        </w:rPr>
        <w:t>）同时兼具正压输气负压输气功能；</w:t>
      </w:r>
    </w:p>
    <w:p>
      <w:pPr>
        <w:ind w:firstLine="436" w:firstLineChars="182"/>
      </w:pPr>
      <w:r>
        <w:rPr>
          <w:rFonts w:hint="eastAsia" w:ascii="宋体" w:hAnsi="宋体"/>
          <w:szCs w:val="24"/>
        </w:rPr>
        <w:t>（</w:t>
      </w:r>
      <w:r>
        <w:rPr>
          <w:rFonts w:hint="eastAsia"/>
        </w:rPr>
        <w:t>1</w:t>
      </w:r>
      <w:r>
        <w:t>1</w:t>
      </w:r>
      <w:r>
        <w:rPr>
          <w:rFonts w:hint="eastAsia"/>
        </w:rPr>
        <w:t>）具有单路或者双路工作状态转换功能。</w:t>
      </w:r>
    </w:p>
    <w:p>
      <w:pPr>
        <w:pStyle w:val="21"/>
        <w:ind w:left="238" w:leftChars="99" w:firstLine="259" w:firstLineChars="108"/>
        <w:jc w:val="left"/>
        <w:rPr>
          <w:rFonts w:ascii="宋体" w:hAnsi="宋体"/>
          <w:szCs w:val="24"/>
        </w:rPr>
      </w:pPr>
      <w:r>
        <w:rPr>
          <w:rFonts w:hint="eastAsia" w:ascii="宋体" w:hAnsi="宋体"/>
          <w:szCs w:val="24"/>
        </w:rPr>
        <w:t>3.矿用隔爆型电控箱</w:t>
      </w:r>
    </w:p>
    <w:p>
      <w:pPr>
        <w:ind w:firstLine="480"/>
      </w:pPr>
      <w:r>
        <w:rPr>
          <w:rFonts w:hint="eastAsia" w:ascii="宋体" w:hAnsi="宋体"/>
          <w:szCs w:val="24"/>
        </w:rPr>
        <w:t>（</w:t>
      </w:r>
      <w:r>
        <w:rPr>
          <w:rFonts w:hint="eastAsia"/>
        </w:rPr>
        <w:t>1）电源：输入电压660V、1140V（双电压），输出电压660V,127V；</w:t>
      </w:r>
    </w:p>
    <w:p>
      <w:pPr>
        <w:ind w:firstLine="480"/>
      </w:pPr>
      <w:r>
        <w:rPr>
          <w:rFonts w:hint="eastAsia" w:ascii="宋体" w:hAnsi="宋体"/>
          <w:szCs w:val="24"/>
        </w:rPr>
        <w:t>（</w:t>
      </w:r>
      <w:r>
        <w:t>2</w:t>
      </w:r>
      <w:r>
        <w:rPr>
          <w:rFonts w:hint="eastAsia"/>
        </w:rPr>
        <w:t>）额定电流30A；</w:t>
      </w:r>
    </w:p>
    <w:p>
      <w:pPr>
        <w:ind w:firstLine="480"/>
      </w:pPr>
      <w:r>
        <w:rPr>
          <w:rFonts w:hint="eastAsia" w:ascii="宋体" w:hAnsi="宋体"/>
          <w:szCs w:val="24"/>
        </w:rPr>
        <w:t>（</w:t>
      </w:r>
      <w:r>
        <w:t>3</w:t>
      </w:r>
      <w:r>
        <w:rPr>
          <w:rFonts w:hint="eastAsia"/>
        </w:rPr>
        <w:t>）额定频率50HZ；</w:t>
      </w:r>
    </w:p>
    <w:p>
      <w:pPr>
        <w:ind w:firstLine="480"/>
      </w:pPr>
      <w:r>
        <w:rPr>
          <w:rFonts w:hint="eastAsia" w:ascii="宋体" w:hAnsi="宋体"/>
          <w:szCs w:val="24"/>
        </w:rPr>
        <w:t>（</w:t>
      </w:r>
      <w:r>
        <w:rPr>
          <w:rFonts w:hint="eastAsia"/>
        </w:rPr>
        <w:t>4）额定工作电压660V/1140V；</w:t>
      </w:r>
    </w:p>
    <w:p>
      <w:pPr>
        <w:ind w:firstLine="480"/>
      </w:pPr>
      <w:r>
        <w:rPr>
          <w:rFonts w:hint="eastAsia" w:ascii="宋体" w:hAnsi="宋体"/>
          <w:szCs w:val="24"/>
        </w:rPr>
        <w:t>（</w:t>
      </w:r>
      <w:r>
        <w:rPr>
          <w:rFonts w:hint="eastAsia"/>
        </w:rPr>
        <w:t>5）工作方式：8小时工作制（连续工作制），网络控制）时间开关控制；</w:t>
      </w:r>
    </w:p>
    <w:p>
      <w:pPr>
        <w:ind w:firstLine="480"/>
      </w:pPr>
      <w:r>
        <w:rPr>
          <w:rFonts w:hint="eastAsia" w:ascii="宋体" w:hAnsi="宋体"/>
          <w:szCs w:val="24"/>
        </w:rPr>
        <w:t>（</w:t>
      </w:r>
      <w:r>
        <w:rPr>
          <w:rFonts w:hint="eastAsia"/>
        </w:rPr>
        <w:t>6）电压允许波动范围：75%～110%；</w:t>
      </w:r>
    </w:p>
    <w:p>
      <w:pPr>
        <w:ind w:firstLine="480"/>
      </w:pPr>
      <w:r>
        <w:rPr>
          <w:rFonts w:hint="eastAsia" w:ascii="宋体" w:hAnsi="宋体"/>
          <w:szCs w:val="24"/>
        </w:rPr>
        <w:t>（</w:t>
      </w:r>
      <w:r>
        <w:rPr>
          <w:rFonts w:hint="eastAsia"/>
        </w:rPr>
        <w:t>7）最大控制电动机功率：7</w:t>
      </w:r>
      <w:r>
        <w:t>00W</w:t>
      </w:r>
      <w:r>
        <w:rPr>
          <w:rFonts w:hint="eastAsia"/>
        </w:rPr>
        <w:t>。</w:t>
      </w:r>
    </w:p>
    <w:p>
      <w:pPr>
        <w:pStyle w:val="5"/>
        <w:ind w:firstLine="643"/>
      </w:pPr>
      <w:r>
        <w:rPr>
          <w:rFonts w:hint="eastAsia"/>
          <w:lang w:val="en-US" w:eastAsia="zh-CN"/>
        </w:rPr>
        <w:t>七</w:t>
      </w:r>
      <w:r>
        <w:rPr>
          <w:rFonts w:hint="eastAsia"/>
        </w:rPr>
        <w:t>、质量担保</w:t>
      </w:r>
    </w:p>
    <w:p>
      <w:pPr>
        <w:spacing w:line="400" w:lineRule="exact"/>
        <w:ind w:firstLine="480"/>
        <w:rPr>
          <w:rFonts w:ascii="宋体" w:hAnsi="宋体"/>
        </w:rPr>
      </w:pPr>
      <w:r>
        <w:rPr>
          <w:rFonts w:hint="eastAsia" w:ascii="宋体" w:hAnsi="宋体"/>
        </w:rPr>
        <w:t>质保期：安装运行合格后12个月。</w:t>
      </w:r>
    </w:p>
    <w:p>
      <w:pPr>
        <w:pStyle w:val="5"/>
        <w:ind w:firstLine="643"/>
      </w:pPr>
      <w:r>
        <w:rPr>
          <w:rFonts w:hint="eastAsia"/>
          <w:lang w:val="en-US" w:eastAsia="zh-CN"/>
        </w:rPr>
        <w:t>八</w:t>
      </w:r>
      <w:r>
        <w:rPr>
          <w:rFonts w:hint="eastAsia"/>
        </w:rPr>
        <w:t>、技术服务</w:t>
      </w:r>
    </w:p>
    <w:p>
      <w:pPr>
        <w:ind w:firstLine="480"/>
      </w:pPr>
      <w:r>
        <w:rPr>
          <w:rFonts w:hint="eastAsia"/>
        </w:rPr>
        <w:t>1.卖方有义务根据买方要求，对卖方所售产品提供现场安装调试、维修指导、故障处理等技术服务，该服务由卖方指定的专业技术人员来完成。技术服务包括在设备的整个服务期内；</w:t>
      </w:r>
    </w:p>
    <w:p>
      <w:pPr>
        <w:ind w:firstLine="480"/>
      </w:pPr>
      <w:r>
        <w:rPr>
          <w:rFonts w:hint="eastAsia"/>
        </w:rPr>
        <w:t>2.在备质保期内，卖方在现场备足保证设备正常运行所需备件；设备出现故障，卖方1小时内做出答复，并将在24小时内派服务人员到达现场处理；</w:t>
      </w:r>
    </w:p>
    <w:p>
      <w:pPr>
        <w:ind w:firstLine="480"/>
      </w:pPr>
      <w:r>
        <w:rPr>
          <w:rFonts w:hint="eastAsia"/>
        </w:rPr>
        <w:t>3.质期内配件免费；</w:t>
      </w:r>
    </w:p>
    <w:p>
      <w:pPr>
        <w:ind w:firstLine="480"/>
        <w:rPr>
          <w:rFonts w:hint="eastAsia" w:ascii="宋体" w:hAnsi="宋体" w:cs="宋体"/>
          <w:u w:val="none"/>
          <w:lang w:eastAsia="zh-CN"/>
        </w:rPr>
      </w:pPr>
      <w:r>
        <w:rPr>
          <w:rFonts w:hint="eastAsia"/>
          <w:u w:val="none"/>
        </w:rPr>
        <w:t>4.卖方派遣专业技术人员到现场完成培训工作；</w:t>
      </w:r>
      <w:r>
        <w:rPr>
          <w:rFonts w:hint="eastAsia" w:ascii="宋体" w:hAnsi="宋体" w:cs="宋体"/>
          <w:u w:val="none"/>
        </w:rPr>
        <w:t>培训内容包括设备的基本性能、工作原理、结构特点、组装工艺、调试过程、使用操作、故障排除、修理、维护等，在设备到货前使受训人员具备上岗操作与维修的条件</w:t>
      </w:r>
      <w:r>
        <w:rPr>
          <w:rFonts w:hint="eastAsia" w:ascii="宋体" w:hAnsi="宋体" w:cs="宋体"/>
          <w:u w:val="none"/>
          <w:lang w:eastAsia="zh-CN"/>
        </w:rPr>
        <w:t>。</w:t>
      </w:r>
    </w:p>
    <w:p>
      <w:pPr>
        <w:ind w:firstLine="480"/>
        <w:rPr>
          <w:rFonts w:hint="eastAsia"/>
        </w:rPr>
      </w:pPr>
      <w:r>
        <w:rPr>
          <w:rFonts w:hint="eastAsia"/>
        </w:rPr>
        <w:t>5.在安装和调试过程中，卖方应派人到现场负责指导安装和调试。</w:t>
      </w:r>
    </w:p>
    <w:p>
      <w:pPr>
        <w:pStyle w:val="5"/>
        <w:bidi w:val="0"/>
      </w:pPr>
      <w:r>
        <w:rPr>
          <w:rFonts w:hint="eastAsia"/>
          <w:lang w:val="en-US" w:eastAsia="zh-CN"/>
        </w:rPr>
        <w:t>九、</w:t>
      </w:r>
      <w:r>
        <w:rPr>
          <w:rFonts w:hint="eastAsia"/>
        </w:rPr>
        <w:t>设备技术资料</w:t>
      </w:r>
    </w:p>
    <w:p>
      <w:pPr>
        <w:spacing w:line="360" w:lineRule="auto"/>
        <w:ind w:firstLine="480" w:firstLineChars="200"/>
        <w:rPr>
          <w:rFonts w:ascii="宋体" w:hAnsi="宋体" w:cs="宋体"/>
        </w:rPr>
      </w:pPr>
      <w:r>
        <w:rPr>
          <w:rFonts w:hint="eastAsia" w:ascii="宋体" w:hAnsi="宋体" w:cs="宋体"/>
        </w:rPr>
        <w:t>1.</w:t>
      </w:r>
      <w:r>
        <w:rPr>
          <w:rFonts w:hint="eastAsia" w:ascii="宋体" w:hAnsi="Calibri"/>
        </w:rPr>
        <w:t>合同签订后三天内，供货方一次性向采购方提供完整的、与供货设备实物一致的肆套纸质版签章图纸，同时提供AutoCAD2004版、比例为1:1的电子版图纸。</w:t>
      </w:r>
    </w:p>
    <w:p>
      <w:pPr>
        <w:spacing w:line="360" w:lineRule="auto"/>
        <w:ind w:firstLine="480" w:firstLineChars="200"/>
        <w:rPr>
          <w:rFonts w:ascii="宋体" w:hAnsi="宋体" w:cs="宋体"/>
        </w:rPr>
      </w:pPr>
      <w:r>
        <w:rPr>
          <w:rFonts w:hint="eastAsia" w:ascii="宋体" w:hAnsi="宋体" w:cs="宋体"/>
        </w:rPr>
        <w:t>2.卖方所提供的技术资料应能满足买方所订设备总体设计以及设备的安装、调试、运行维护的总要求。如所供资料不能达到要求时，卖方根据买方要求免费给予补充。</w:t>
      </w:r>
    </w:p>
    <w:p>
      <w:pPr>
        <w:spacing w:line="360" w:lineRule="auto"/>
        <w:ind w:firstLine="480" w:firstLineChars="200"/>
        <w:rPr>
          <w:rFonts w:ascii="宋体" w:hAnsi="宋体" w:cs="宋体"/>
        </w:rPr>
      </w:pPr>
      <w:r>
        <w:rPr>
          <w:rFonts w:hint="eastAsia" w:ascii="宋体" w:hAnsi="宋体" w:cs="宋体"/>
        </w:rPr>
        <w:t>3.卖方向买方提供的技术文件及图纸资料应使用国标单位。</w:t>
      </w:r>
    </w:p>
    <w:p>
      <w:pPr>
        <w:spacing w:line="360" w:lineRule="auto"/>
        <w:ind w:firstLine="480" w:firstLineChars="200"/>
        <w:rPr>
          <w:rFonts w:ascii="宋体" w:hAnsi="宋体" w:cs="宋体"/>
        </w:rPr>
      </w:pPr>
      <w:r>
        <w:rPr>
          <w:rFonts w:hint="eastAsia" w:ascii="宋体" w:hAnsi="宋体" w:cs="宋体"/>
        </w:rPr>
        <w:t>4.若卖方所提供的货物型号相同，则纸质版技术图纸与资料一式4份/型号/台，电子版1份/型号/台。但对于单台设备的特有资料，卖方必须提供4份原件/台和电子版1份/台。</w:t>
      </w:r>
    </w:p>
    <w:p>
      <w:pPr>
        <w:spacing w:line="360" w:lineRule="auto"/>
        <w:ind w:firstLine="480" w:firstLineChars="200"/>
        <w:rPr>
          <w:rFonts w:ascii="宋体" w:hAnsi="宋体" w:cs="宋体"/>
        </w:rPr>
      </w:pPr>
      <w:r>
        <w:rPr>
          <w:rFonts w:hint="eastAsia" w:ascii="宋体" w:hAnsi="宋体" w:cs="宋体"/>
        </w:rPr>
        <w:t>5.卖方提供的资料包括下列内容：</w:t>
      </w:r>
    </w:p>
    <w:p>
      <w:pPr>
        <w:spacing w:line="360" w:lineRule="auto"/>
        <w:ind w:firstLine="480" w:firstLineChars="200"/>
        <w:rPr>
          <w:rFonts w:ascii="宋体" w:hAnsi="宋体" w:cs="宋体"/>
        </w:rPr>
      </w:pPr>
      <w:r>
        <w:rPr>
          <w:rFonts w:hint="eastAsia" w:ascii="宋体" w:hAnsi="宋体" w:cs="宋体"/>
        </w:rPr>
        <w:t>5.1煤安证、防爆合格证、设备出厂检验报告。</w:t>
      </w:r>
    </w:p>
    <w:p>
      <w:pPr>
        <w:spacing w:line="360" w:lineRule="auto"/>
        <w:ind w:firstLine="480" w:firstLineChars="200"/>
        <w:rPr>
          <w:rFonts w:ascii="宋体" w:hAnsi="宋体" w:cs="宋体"/>
        </w:rPr>
      </w:pPr>
      <w:r>
        <w:rPr>
          <w:rFonts w:hint="eastAsia" w:ascii="宋体" w:hAnsi="宋体" w:cs="宋体"/>
        </w:rPr>
        <w:t>5.2检验合格证书。</w:t>
      </w:r>
    </w:p>
    <w:p>
      <w:pPr>
        <w:spacing w:line="360" w:lineRule="auto"/>
        <w:ind w:firstLine="480" w:firstLineChars="200"/>
        <w:rPr>
          <w:rFonts w:ascii="宋体" w:hAnsi="宋体" w:cs="宋体"/>
        </w:rPr>
      </w:pPr>
      <w:r>
        <w:rPr>
          <w:rFonts w:hint="eastAsia" w:ascii="宋体" w:hAnsi="宋体" w:cs="宋体"/>
        </w:rPr>
        <w:t>5.3设备整机或相关部件的合格证。</w:t>
      </w:r>
    </w:p>
    <w:p>
      <w:pPr>
        <w:spacing w:line="360" w:lineRule="auto"/>
        <w:ind w:firstLine="480" w:firstLineChars="200"/>
        <w:rPr>
          <w:rFonts w:ascii="宋体" w:hAnsi="宋体" w:cs="宋体"/>
        </w:rPr>
      </w:pPr>
      <w:r>
        <w:rPr>
          <w:rFonts w:hint="eastAsia" w:ascii="宋体" w:hAnsi="宋体" w:cs="宋体"/>
        </w:rPr>
        <w:t>5.4外购件、外协件的出厂检验合格证明。</w:t>
      </w:r>
    </w:p>
    <w:p>
      <w:pPr>
        <w:spacing w:line="360" w:lineRule="auto"/>
        <w:ind w:firstLine="480" w:firstLineChars="200"/>
        <w:rPr>
          <w:rFonts w:ascii="宋体" w:hAnsi="宋体" w:cs="宋体"/>
        </w:rPr>
      </w:pPr>
      <w:r>
        <w:rPr>
          <w:rFonts w:hint="eastAsia" w:ascii="宋体" w:hAnsi="宋体" w:cs="宋体"/>
        </w:rPr>
        <w:t>5.5产品使用说明书。</w:t>
      </w:r>
    </w:p>
    <w:p>
      <w:pPr>
        <w:spacing w:line="360" w:lineRule="auto"/>
        <w:ind w:firstLine="480" w:firstLineChars="200"/>
        <w:rPr>
          <w:rFonts w:ascii="宋体" w:hAnsi="宋体" w:cs="宋体"/>
        </w:rPr>
      </w:pPr>
      <w:r>
        <w:rPr>
          <w:rFonts w:hint="eastAsia" w:ascii="宋体" w:hAnsi="宋体" w:cs="宋体"/>
        </w:rPr>
        <w:t>5.6设备维修保养手册。</w:t>
      </w:r>
    </w:p>
    <w:p>
      <w:pPr>
        <w:spacing w:line="360" w:lineRule="auto"/>
        <w:ind w:firstLine="480" w:firstLineChars="200"/>
        <w:rPr>
          <w:rFonts w:ascii="宋体" w:hAnsi="宋体" w:cs="宋体"/>
        </w:rPr>
      </w:pPr>
      <w:r>
        <w:rPr>
          <w:rFonts w:hint="eastAsia" w:ascii="宋体" w:hAnsi="宋体" w:cs="宋体"/>
        </w:rPr>
        <w:t>5.7整机技术图纸、安装图纸、备件手册和装配图册。</w:t>
      </w:r>
    </w:p>
    <w:p>
      <w:pPr>
        <w:spacing w:line="360" w:lineRule="auto"/>
        <w:ind w:firstLine="480" w:firstLineChars="200"/>
        <w:rPr>
          <w:rFonts w:ascii="宋体" w:hAnsi="宋体" w:cs="宋体"/>
        </w:rPr>
      </w:pPr>
      <w:r>
        <w:rPr>
          <w:rFonts w:hint="eastAsia" w:ascii="宋体" w:hAnsi="宋体" w:cs="宋体"/>
        </w:rPr>
        <w:t>5.8备件手册中应标注备件类型，如通用（标准）件，和非标件、自制件。</w:t>
      </w:r>
    </w:p>
    <w:p>
      <w:pPr>
        <w:spacing w:line="360" w:lineRule="auto"/>
        <w:ind w:firstLine="480" w:firstLineChars="200"/>
        <w:rPr>
          <w:rFonts w:ascii="宋体" w:hAnsi="宋体" w:cs="宋体"/>
        </w:rPr>
      </w:pPr>
      <w:r>
        <w:rPr>
          <w:rFonts w:hint="eastAsia" w:ascii="宋体" w:hAnsi="宋体" w:cs="宋体"/>
        </w:rPr>
        <w:t>6.随机资料与图纸装订要求：</w:t>
      </w:r>
    </w:p>
    <w:p>
      <w:pPr>
        <w:spacing w:line="360" w:lineRule="auto"/>
        <w:ind w:firstLine="480" w:firstLineChars="200"/>
        <w:rPr>
          <w:rFonts w:ascii="宋体" w:hAnsi="宋体" w:cs="宋体"/>
        </w:rPr>
      </w:pPr>
      <w:r>
        <w:rPr>
          <w:rFonts w:hint="eastAsia" w:ascii="宋体" w:hAnsi="宋体" w:cs="宋体"/>
        </w:rPr>
        <w:t>6.1所有图纸与资料要求装订成册。</w:t>
      </w:r>
    </w:p>
    <w:p>
      <w:pPr>
        <w:spacing w:line="360" w:lineRule="auto"/>
        <w:ind w:firstLine="480" w:firstLineChars="200"/>
        <w:rPr>
          <w:rFonts w:ascii="宋体" w:hAnsi="宋体" w:cs="宋体"/>
        </w:rPr>
      </w:pPr>
      <w:r>
        <w:rPr>
          <w:rFonts w:hint="eastAsia" w:ascii="宋体" w:hAnsi="宋体" w:cs="宋体"/>
        </w:rPr>
        <w:t>6.2所有外协件、外购件的资料必须与相应主机统一排版装订。</w:t>
      </w:r>
    </w:p>
    <w:p>
      <w:pPr>
        <w:spacing w:line="360" w:lineRule="auto"/>
        <w:ind w:firstLine="480" w:firstLineChars="200"/>
        <w:rPr>
          <w:rFonts w:ascii="宋体" w:hAnsi="宋体" w:cs="宋体"/>
        </w:rPr>
      </w:pPr>
      <w:r>
        <w:rPr>
          <w:rFonts w:hint="eastAsia" w:ascii="宋体" w:hAnsi="宋体" w:cs="宋体"/>
        </w:rPr>
        <w:t>6.3所有原件必须统一装订。</w:t>
      </w:r>
    </w:p>
    <w:p>
      <w:pPr>
        <w:spacing w:line="360" w:lineRule="auto"/>
        <w:ind w:firstLine="480" w:firstLineChars="200"/>
        <w:rPr>
          <w:rFonts w:ascii="宋体" w:hAnsi="宋体" w:cs="宋体"/>
        </w:rPr>
      </w:pPr>
      <w:r>
        <w:rPr>
          <w:rFonts w:hint="eastAsia" w:ascii="宋体" w:hAnsi="宋体" w:cs="宋体"/>
        </w:rPr>
        <w:t>6.4每套图纸与资料必须编排目录。</w:t>
      </w:r>
    </w:p>
    <w:p>
      <w:pPr>
        <w:spacing w:line="360" w:lineRule="auto"/>
        <w:ind w:firstLine="480" w:firstLineChars="200"/>
        <w:rPr>
          <w:rFonts w:ascii="宋体" w:hAnsi="宋体" w:cs="宋体"/>
        </w:rPr>
      </w:pPr>
      <w:r>
        <w:rPr>
          <w:rFonts w:hint="eastAsia" w:ascii="宋体" w:hAnsi="宋体" w:cs="宋体"/>
        </w:rPr>
        <w:t>6.5图纸与资料所用纸张规格尽量统一。</w:t>
      </w:r>
    </w:p>
    <w:p>
      <w:pPr>
        <w:pStyle w:val="2"/>
      </w:pPr>
    </w:p>
    <w:p>
      <w:pPr>
        <w:pStyle w:val="5"/>
        <w:numPr>
          <w:ilvl w:val="0"/>
          <w:numId w:val="2"/>
        </w:numPr>
        <w:ind w:left="0" w:leftChars="0" w:firstLine="0" w:firstLineChars="0"/>
        <w:rPr>
          <w:rFonts w:hint="eastAsia"/>
        </w:rPr>
      </w:pPr>
      <w:r>
        <w:br w:type="page"/>
      </w:r>
      <w:r>
        <w:rPr>
          <w:rFonts w:hint="eastAsia"/>
        </w:rPr>
        <w:t>安装配件清单</w:t>
      </w:r>
    </w:p>
    <w:tbl>
      <w:tblPr>
        <w:tblStyle w:val="13"/>
        <w:tblpPr w:leftFromText="180" w:rightFromText="180" w:vertAnchor="text" w:horzAnchor="page" w:tblpXSpec="center" w:tblpY="252"/>
        <w:tblOverlap w:val="never"/>
        <w:tblW w:w="0" w:type="auto"/>
        <w:jc w:val="center"/>
        <w:tblLayout w:type="autofit"/>
        <w:tblCellMar>
          <w:top w:w="15" w:type="dxa"/>
          <w:left w:w="15" w:type="dxa"/>
          <w:bottom w:w="15" w:type="dxa"/>
          <w:right w:w="15" w:type="dxa"/>
        </w:tblCellMar>
      </w:tblPr>
      <w:tblGrid>
        <w:gridCol w:w="705"/>
        <w:gridCol w:w="3199"/>
        <w:gridCol w:w="1073"/>
        <w:gridCol w:w="567"/>
        <w:gridCol w:w="3512"/>
      </w:tblGrid>
      <w:tr>
        <w:tblPrEx>
          <w:tblCellMar>
            <w:top w:w="15" w:type="dxa"/>
            <w:left w:w="15" w:type="dxa"/>
            <w:bottom w:w="15" w:type="dxa"/>
            <w:right w:w="15" w:type="dxa"/>
          </w:tblCellMar>
        </w:tblPrEx>
        <w:trPr>
          <w:cantSplit/>
          <w:trHeight w:val="461" w:hRule="atLeast"/>
          <w:jc w:val="center"/>
        </w:trPr>
        <w:tc>
          <w:tcPr>
            <w:tcW w:w="9056" w:type="dxa"/>
            <w:gridSpan w:val="5"/>
            <w:tcBorders>
              <w:top w:val="single" w:color="000000" w:sz="4" w:space="0"/>
              <w:left w:val="single" w:color="000000" w:sz="4" w:space="0"/>
              <w:bottom w:val="single" w:color="000000" w:sz="4" w:space="0"/>
              <w:right w:val="single" w:color="000000" w:sz="4" w:space="0"/>
            </w:tcBorders>
            <w:vAlign w:val="center"/>
          </w:tcPr>
          <w:p>
            <w:pPr>
              <w:pStyle w:val="27"/>
              <w:bidi w:val="0"/>
            </w:pPr>
            <w:r>
              <w:rPr>
                <w:rFonts w:hint="eastAsia"/>
                <w:lang w:val="en-US" w:eastAsia="zh-CN"/>
              </w:rPr>
              <w:t xml:space="preserve">                                                                                             </w:t>
            </w:r>
            <w:r>
              <w:rPr>
                <w:rFonts w:hint="eastAsia"/>
                <w:sz w:val="22"/>
                <w:szCs w:val="22"/>
              </w:rPr>
              <w:t>矿井下火灾监测系统清单</w:t>
            </w:r>
          </w:p>
          <w:p>
            <w:pPr>
              <w:pStyle w:val="27"/>
              <w:jc w:val="center"/>
              <w:rPr>
                <w:sz w:val="22"/>
              </w:rPr>
            </w:pPr>
          </w:p>
        </w:tc>
      </w:tr>
      <w:tr>
        <w:tblPrEx>
          <w:tblCellMar>
            <w:top w:w="15" w:type="dxa"/>
            <w:left w:w="15" w:type="dxa"/>
            <w:bottom w:w="15" w:type="dxa"/>
            <w:right w:w="15" w:type="dxa"/>
          </w:tblCellMar>
        </w:tblPrEx>
        <w:trPr>
          <w:trHeight w:val="510" w:hRule="atLeast"/>
          <w:jc w:val="center"/>
        </w:trPr>
        <w:tc>
          <w:tcPr>
            <w:tcW w:w="3904" w:type="dxa"/>
            <w:gridSpan w:val="2"/>
            <w:tcBorders>
              <w:top w:val="single" w:color="000000" w:sz="4" w:space="0"/>
              <w:left w:val="single" w:color="000000" w:sz="4" w:space="0"/>
              <w:bottom w:val="single" w:color="000000" w:sz="4" w:space="0"/>
              <w:right w:val="single" w:color="000000" w:sz="4" w:space="0"/>
            </w:tcBorders>
            <w:vAlign w:val="center"/>
          </w:tcPr>
          <w:p>
            <w:pPr>
              <w:pStyle w:val="27"/>
              <w:rPr>
                <w:rFonts w:hint="eastAsia"/>
                <w:sz w:val="22"/>
              </w:rPr>
            </w:pPr>
            <w:r>
              <w:rPr>
                <w:rFonts w:hint="eastAsia"/>
                <w:sz w:val="22"/>
              </w:rPr>
              <w:t>名称</w:t>
            </w: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7"/>
              <w:rPr>
                <w:rFonts w:hint="eastAsia" w:ascii="Calibri" w:hAnsi="Calibri" w:eastAsia="宋体" w:cs="Times New Roman"/>
                <w:sz w:val="22"/>
                <w:szCs w:val="22"/>
                <w:lang w:val="en-US" w:eastAsia="zh-CN" w:bidi="ar-SA"/>
              </w:rPr>
            </w:pPr>
            <w:r>
              <w:rPr>
                <w:rFonts w:hint="eastAsia"/>
                <w:sz w:val="22"/>
              </w:rPr>
              <w:t>数量</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27"/>
              <w:rPr>
                <w:rFonts w:hint="eastAsia" w:ascii="Calibri" w:hAnsi="Calibri" w:eastAsia="宋体" w:cs="Times New Roman"/>
                <w:sz w:val="22"/>
                <w:szCs w:val="22"/>
                <w:lang w:val="en-US" w:eastAsia="zh-CN" w:bidi="ar-SA"/>
              </w:rPr>
            </w:pPr>
            <w:r>
              <w:rPr>
                <w:rFonts w:hint="eastAsia"/>
                <w:sz w:val="22"/>
              </w:rPr>
              <w:t>单位</w:t>
            </w:r>
          </w:p>
        </w:tc>
        <w:tc>
          <w:tcPr>
            <w:tcW w:w="3512" w:type="dxa"/>
            <w:tcBorders>
              <w:top w:val="single" w:color="000000" w:sz="4" w:space="0"/>
              <w:left w:val="single" w:color="000000" w:sz="4" w:space="0"/>
              <w:bottom w:val="single" w:color="000000" w:sz="4" w:space="0"/>
              <w:right w:val="single" w:color="000000" w:sz="4" w:space="0"/>
            </w:tcBorders>
            <w:vAlign w:val="center"/>
          </w:tcPr>
          <w:p>
            <w:pPr>
              <w:pStyle w:val="27"/>
              <w:rPr>
                <w:rFonts w:hint="eastAsia" w:ascii="Calibri" w:hAnsi="Calibri" w:eastAsia="宋体" w:cs="Times New Roman"/>
                <w:sz w:val="22"/>
                <w:szCs w:val="22"/>
                <w:lang w:val="en-US" w:eastAsia="zh-CN" w:bidi="ar-SA"/>
              </w:rPr>
            </w:pPr>
            <w:r>
              <w:rPr>
                <w:rFonts w:hint="eastAsia"/>
                <w:sz w:val="22"/>
              </w:rPr>
              <w:t>备注</w:t>
            </w:r>
          </w:p>
        </w:tc>
      </w:tr>
      <w:tr>
        <w:tblPrEx>
          <w:tblCellMar>
            <w:top w:w="15" w:type="dxa"/>
            <w:left w:w="15" w:type="dxa"/>
            <w:bottom w:w="15" w:type="dxa"/>
            <w:right w:w="15" w:type="dxa"/>
          </w:tblCellMar>
        </w:tblPrEx>
        <w:trPr>
          <w:trHeight w:val="1328" w:hRule="atLeast"/>
          <w:jc w:val="center"/>
        </w:trPr>
        <w:tc>
          <w:tcPr>
            <w:tcW w:w="3904" w:type="dxa"/>
            <w:gridSpan w:val="2"/>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数据对接</w:t>
            </w: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1</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项</w:t>
            </w:r>
          </w:p>
        </w:tc>
        <w:tc>
          <w:tcPr>
            <w:tcW w:w="3512" w:type="dxa"/>
            <w:tcBorders>
              <w:top w:val="single" w:color="000000" w:sz="4" w:space="0"/>
              <w:left w:val="single" w:color="000000" w:sz="4" w:space="0"/>
              <w:bottom w:val="single" w:color="000000" w:sz="4" w:space="0"/>
              <w:right w:val="single" w:color="000000" w:sz="4" w:space="0"/>
            </w:tcBorders>
            <w:vAlign w:val="center"/>
          </w:tcPr>
          <w:p>
            <w:pPr>
              <w:pStyle w:val="27"/>
              <w:bidi w:val="0"/>
              <w:jc w:val="left"/>
            </w:pPr>
            <w:r>
              <w:rPr>
                <w:rFonts w:hint="eastAsia"/>
                <w:lang w:val="en-US" w:eastAsia="zh-CN"/>
              </w:rPr>
              <w:t>能与我矿未来构建智能化平台实现通讯，具备数据上传及实时控制功能。并能按鄂尔多斯市能源局要求，与鄂尔多斯市煤炭安全监管平台对接，实现数据上传。</w:t>
            </w:r>
            <w:bookmarkStart w:id="8" w:name="_GoBack"/>
            <w:bookmarkEnd w:id="8"/>
          </w:p>
          <w:p>
            <w:pPr>
              <w:pStyle w:val="27"/>
              <w:rPr>
                <w:rFonts w:hint="default" w:eastAsia="宋体"/>
                <w:sz w:val="22"/>
                <w:lang w:val="en-US" w:eastAsia="zh-CN"/>
              </w:rPr>
            </w:pPr>
          </w:p>
        </w:tc>
      </w:tr>
      <w:tr>
        <w:tblPrEx>
          <w:tblCellMar>
            <w:top w:w="15" w:type="dxa"/>
            <w:left w:w="15" w:type="dxa"/>
            <w:bottom w:w="15" w:type="dxa"/>
            <w:right w:w="15" w:type="dxa"/>
          </w:tblCellMar>
        </w:tblPrEx>
        <w:trPr>
          <w:trHeight w:val="584" w:hRule="atLeast"/>
          <w:jc w:val="center"/>
        </w:trPr>
        <w:tc>
          <w:tcPr>
            <w:tcW w:w="705" w:type="dxa"/>
            <w:vMerge w:val="restart"/>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井上部分</w:t>
            </w:r>
          </w:p>
        </w:tc>
        <w:tc>
          <w:tcPr>
            <w:tcW w:w="3199"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eastAsia="宋体"/>
                <w:sz w:val="22"/>
                <w:lang w:eastAsia="zh-CN"/>
              </w:rPr>
              <w:t>煤矿煤矿自然发火束管微色谱监测系统软件</w:t>
            </w: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1</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套</w:t>
            </w:r>
          </w:p>
        </w:tc>
        <w:tc>
          <w:tcPr>
            <w:tcW w:w="3512"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p>
        </w:tc>
      </w:tr>
      <w:tr>
        <w:tblPrEx>
          <w:tblCellMar>
            <w:top w:w="15" w:type="dxa"/>
            <w:left w:w="15" w:type="dxa"/>
            <w:bottom w:w="15" w:type="dxa"/>
            <w:right w:w="15" w:type="dxa"/>
          </w:tblCellMar>
        </w:tblPrEx>
        <w:trPr>
          <w:trHeight w:val="510" w:hRule="atLeast"/>
          <w:jc w:val="center"/>
        </w:trPr>
        <w:tc>
          <w:tcPr>
            <w:tcW w:w="705" w:type="dxa"/>
            <w:vMerge w:val="continue"/>
            <w:tcBorders>
              <w:top w:val="single" w:color="000000" w:sz="4" w:space="0"/>
              <w:left w:val="single" w:color="000000" w:sz="4" w:space="0"/>
              <w:bottom w:val="single" w:color="000000" w:sz="4" w:space="0"/>
              <w:right w:val="single" w:color="000000" w:sz="4" w:space="0"/>
            </w:tcBorders>
            <w:vAlign w:val="center"/>
          </w:tcPr>
          <w:p>
            <w:pPr>
              <w:pStyle w:val="27"/>
              <w:rPr>
                <w:sz w:val="22"/>
              </w:rPr>
            </w:pPr>
          </w:p>
        </w:tc>
        <w:tc>
          <w:tcPr>
            <w:tcW w:w="3199" w:type="dxa"/>
            <w:tcBorders>
              <w:top w:val="single" w:color="000000" w:sz="4" w:space="0"/>
              <w:left w:val="single" w:color="000000" w:sz="4" w:space="0"/>
              <w:bottom w:val="single" w:color="000000" w:sz="4" w:space="0"/>
              <w:right w:val="single" w:color="000000" w:sz="4" w:space="0"/>
            </w:tcBorders>
            <w:vAlign w:val="center"/>
          </w:tcPr>
          <w:p>
            <w:pPr>
              <w:pStyle w:val="27"/>
              <w:rPr>
                <w:rFonts w:hint="eastAsia" w:eastAsia="宋体"/>
                <w:sz w:val="22"/>
                <w:lang w:eastAsia="zh-CN"/>
              </w:rPr>
            </w:pPr>
            <w:r>
              <w:rPr>
                <w:rFonts w:hint="eastAsia"/>
                <w:sz w:val="22"/>
              </w:rPr>
              <w:t>工控机</w:t>
            </w:r>
            <w:r>
              <w:rPr>
                <w:rFonts w:hint="eastAsia"/>
                <w:sz w:val="22"/>
                <w:lang w:eastAsia="zh-CN"/>
              </w:rPr>
              <w:t>（</w:t>
            </w:r>
            <w:r>
              <w:rPr>
                <w:rFonts w:hint="eastAsia"/>
                <w:sz w:val="22"/>
                <w:lang w:val="en-US" w:eastAsia="zh-CN"/>
              </w:rPr>
              <w:t>包含液晶显示器</w:t>
            </w:r>
            <w:r>
              <w:rPr>
                <w:rFonts w:hint="eastAsia"/>
                <w:sz w:val="22"/>
                <w:lang w:eastAsia="zh-CN"/>
              </w:rPr>
              <w:t>）</w:t>
            </w: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1</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台</w:t>
            </w:r>
          </w:p>
        </w:tc>
        <w:tc>
          <w:tcPr>
            <w:tcW w:w="3512"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p>
        </w:tc>
      </w:tr>
      <w:tr>
        <w:tblPrEx>
          <w:tblCellMar>
            <w:top w:w="15" w:type="dxa"/>
            <w:left w:w="15" w:type="dxa"/>
            <w:bottom w:w="15" w:type="dxa"/>
            <w:right w:w="15" w:type="dxa"/>
          </w:tblCellMar>
        </w:tblPrEx>
        <w:trPr>
          <w:trHeight w:val="510" w:hRule="atLeast"/>
          <w:jc w:val="center"/>
        </w:trPr>
        <w:tc>
          <w:tcPr>
            <w:tcW w:w="705" w:type="dxa"/>
            <w:vMerge w:val="restart"/>
            <w:tcBorders>
              <w:top w:val="single" w:color="000000" w:sz="4" w:space="0"/>
              <w:left w:val="single" w:color="000000" w:sz="4" w:space="0"/>
              <w:right w:val="single" w:color="000000" w:sz="4" w:space="0"/>
            </w:tcBorders>
            <w:vAlign w:val="center"/>
          </w:tcPr>
          <w:p>
            <w:pPr>
              <w:pStyle w:val="27"/>
              <w:rPr>
                <w:sz w:val="22"/>
              </w:rPr>
            </w:pPr>
            <w:r>
              <w:rPr>
                <w:rFonts w:hint="eastAsia"/>
                <w:sz w:val="22"/>
              </w:rPr>
              <w:t>井下设备</w:t>
            </w:r>
          </w:p>
        </w:tc>
        <w:tc>
          <w:tcPr>
            <w:tcW w:w="3199"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矿用本安型煤矿自然发火束管微色谱监测主站</w:t>
            </w: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1</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台</w:t>
            </w:r>
          </w:p>
        </w:tc>
        <w:tc>
          <w:tcPr>
            <w:tcW w:w="3512" w:type="dxa"/>
            <w:tcBorders>
              <w:top w:val="single" w:color="000000" w:sz="4" w:space="0"/>
              <w:left w:val="single" w:color="000000" w:sz="4" w:space="0"/>
              <w:bottom w:val="single" w:color="000000" w:sz="4" w:space="0"/>
              <w:right w:val="single" w:color="000000" w:sz="4" w:space="0"/>
            </w:tcBorders>
            <w:vAlign w:val="center"/>
          </w:tcPr>
          <w:p>
            <w:pPr>
              <w:pStyle w:val="27"/>
              <w:rPr>
                <w:sz w:val="22"/>
                <w:highlight w:val="yellow"/>
              </w:rPr>
            </w:pPr>
            <w:r>
              <w:rPr>
                <w:sz w:val="22"/>
              </w:rPr>
              <w:t>16</w:t>
            </w:r>
            <w:r>
              <w:rPr>
                <w:rFonts w:hint="eastAsia"/>
                <w:sz w:val="22"/>
              </w:rPr>
              <w:t>路</w:t>
            </w:r>
          </w:p>
        </w:tc>
      </w:tr>
      <w:tr>
        <w:tblPrEx>
          <w:tblCellMar>
            <w:top w:w="15" w:type="dxa"/>
            <w:left w:w="15" w:type="dxa"/>
            <w:bottom w:w="15" w:type="dxa"/>
            <w:right w:w="15" w:type="dxa"/>
          </w:tblCellMar>
        </w:tblPrEx>
        <w:trPr>
          <w:trHeight w:val="510" w:hRule="atLeast"/>
          <w:jc w:val="center"/>
        </w:trPr>
        <w:tc>
          <w:tcPr>
            <w:tcW w:w="705" w:type="dxa"/>
            <w:vMerge w:val="continue"/>
            <w:tcBorders>
              <w:left w:val="single" w:color="000000" w:sz="4" w:space="0"/>
              <w:right w:val="single" w:color="000000" w:sz="4" w:space="0"/>
            </w:tcBorders>
            <w:vAlign w:val="center"/>
          </w:tcPr>
          <w:p>
            <w:pPr>
              <w:pStyle w:val="27"/>
              <w:rPr>
                <w:rFonts w:hint="eastAsia"/>
                <w:sz w:val="22"/>
              </w:rPr>
            </w:pPr>
          </w:p>
        </w:tc>
        <w:tc>
          <w:tcPr>
            <w:tcW w:w="3199" w:type="dxa"/>
            <w:tcBorders>
              <w:top w:val="single" w:color="000000" w:sz="4" w:space="0"/>
              <w:left w:val="single" w:color="000000" w:sz="4" w:space="0"/>
              <w:bottom w:val="single" w:color="000000" w:sz="4" w:space="0"/>
              <w:right w:val="single" w:color="000000" w:sz="4" w:space="0"/>
            </w:tcBorders>
            <w:vAlign w:val="center"/>
          </w:tcPr>
          <w:p>
            <w:pPr>
              <w:pStyle w:val="27"/>
              <w:rPr>
                <w:sz w:val="22"/>
                <w:lang w:val="en-US" w:eastAsia="zh-CN"/>
              </w:rPr>
            </w:pPr>
            <w:r>
              <w:rPr>
                <w:rFonts w:hint="eastAsia"/>
                <w:sz w:val="22"/>
              </w:rPr>
              <w:t>矿用隔爆兼本安型直流电源</w:t>
            </w: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7"/>
              <w:rPr>
                <w:rFonts w:hint="eastAsia"/>
                <w:sz w:val="22"/>
                <w:lang w:val="en-US" w:eastAsia="zh-CN"/>
              </w:rPr>
            </w:pPr>
            <w:r>
              <w:rPr>
                <w:sz w:val="22"/>
              </w:rPr>
              <w:t>1</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27"/>
              <w:rPr>
                <w:rFonts w:hint="eastAsia"/>
                <w:sz w:val="22"/>
                <w:lang w:val="en-US" w:eastAsia="zh-CN"/>
              </w:rPr>
            </w:pPr>
            <w:r>
              <w:rPr>
                <w:rFonts w:hint="eastAsia"/>
                <w:sz w:val="22"/>
              </w:rPr>
              <w:t>台</w:t>
            </w:r>
          </w:p>
        </w:tc>
        <w:tc>
          <w:tcPr>
            <w:tcW w:w="3512"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p>
        </w:tc>
      </w:tr>
      <w:tr>
        <w:tblPrEx>
          <w:tblCellMar>
            <w:top w:w="15" w:type="dxa"/>
            <w:left w:w="15" w:type="dxa"/>
            <w:bottom w:w="15" w:type="dxa"/>
            <w:right w:w="15" w:type="dxa"/>
          </w:tblCellMar>
        </w:tblPrEx>
        <w:trPr>
          <w:trHeight w:val="510" w:hRule="atLeast"/>
          <w:jc w:val="center"/>
        </w:trPr>
        <w:tc>
          <w:tcPr>
            <w:tcW w:w="705" w:type="dxa"/>
            <w:vMerge w:val="continue"/>
            <w:tcBorders>
              <w:left w:val="single" w:color="000000" w:sz="4" w:space="0"/>
              <w:right w:val="single" w:color="000000" w:sz="4" w:space="0"/>
            </w:tcBorders>
            <w:vAlign w:val="center"/>
          </w:tcPr>
          <w:p>
            <w:pPr>
              <w:pStyle w:val="27"/>
              <w:rPr>
                <w:sz w:val="22"/>
              </w:rPr>
            </w:pPr>
          </w:p>
        </w:tc>
        <w:tc>
          <w:tcPr>
            <w:tcW w:w="3199"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单管</w:t>
            </w: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lang w:val="en-US" w:eastAsia="zh-CN"/>
              </w:rPr>
              <w:t>1</w:t>
            </w:r>
            <w:r>
              <w:rPr>
                <w:sz w:val="22"/>
              </w:rPr>
              <w:t>8000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米</w:t>
            </w:r>
          </w:p>
        </w:tc>
        <w:tc>
          <w:tcPr>
            <w:tcW w:w="3512"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p>
        </w:tc>
      </w:tr>
      <w:tr>
        <w:tblPrEx>
          <w:tblCellMar>
            <w:top w:w="15" w:type="dxa"/>
            <w:left w:w="15" w:type="dxa"/>
            <w:bottom w:w="15" w:type="dxa"/>
            <w:right w:w="15" w:type="dxa"/>
          </w:tblCellMar>
        </w:tblPrEx>
        <w:trPr>
          <w:trHeight w:val="510" w:hRule="atLeast"/>
          <w:jc w:val="center"/>
        </w:trPr>
        <w:tc>
          <w:tcPr>
            <w:tcW w:w="705" w:type="dxa"/>
            <w:vMerge w:val="continue"/>
            <w:tcBorders>
              <w:left w:val="single" w:color="000000" w:sz="4" w:space="0"/>
              <w:right w:val="single" w:color="000000" w:sz="4" w:space="0"/>
            </w:tcBorders>
            <w:vAlign w:val="center"/>
          </w:tcPr>
          <w:p>
            <w:pPr>
              <w:pStyle w:val="27"/>
              <w:rPr>
                <w:sz w:val="22"/>
              </w:rPr>
            </w:pPr>
          </w:p>
        </w:tc>
        <w:tc>
          <w:tcPr>
            <w:tcW w:w="3199"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矿用隔爆型电控箱</w:t>
            </w: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7"/>
              <w:rPr>
                <w:rFonts w:hint="eastAsia" w:eastAsia="宋体"/>
                <w:sz w:val="22"/>
                <w:lang w:val="en-US" w:eastAsia="zh-CN"/>
              </w:rPr>
            </w:pPr>
            <w:r>
              <w:rPr>
                <w:rFonts w:hint="eastAsia"/>
                <w:sz w:val="22"/>
                <w:lang w:val="en-US" w:eastAsia="zh-CN"/>
              </w:rPr>
              <w:t>1</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台</w:t>
            </w:r>
          </w:p>
        </w:tc>
        <w:tc>
          <w:tcPr>
            <w:tcW w:w="3512"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p>
        </w:tc>
      </w:tr>
      <w:tr>
        <w:tblPrEx>
          <w:tblCellMar>
            <w:top w:w="15" w:type="dxa"/>
            <w:left w:w="15" w:type="dxa"/>
            <w:bottom w:w="15" w:type="dxa"/>
            <w:right w:w="15" w:type="dxa"/>
          </w:tblCellMar>
        </w:tblPrEx>
        <w:trPr>
          <w:trHeight w:val="510" w:hRule="atLeast"/>
          <w:jc w:val="center"/>
        </w:trPr>
        <w:tc>
          <w:tcPr>
            <w:tcW w:w="705" w:type="dxa"/>
            <w:vMerge w:val="continue"/>
            <w:tcBorders>
              <w:left w:val="single" w:color="000000" w:sz="4" w:space="0"/>
              <w:right w:val="single" w:color="000000" w:sz="4" w:space="0"/>
            </w:tcBorders>
            <w:vAlign w:val="center"/>
          </w:tcPr>
          <w:p>
            <w:pPr>
              <w:pStyle w:val="27"/>
              <w:rPr>
                <w:sz w:val="22"/>
              </w:rPr>
            </w:pPr>
          </w:p>
        </w:tc>
        <w:tc>
          <w:tcPr>
            <w:tcW w:w="3199"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煤矿井下束管</w:t>
            </w:r>
            <w:r>
              <w:rPr>
                <w:sz w:val="22"/>
              </w:rPr>
              <w:t>输气泵站</w:t>
            </w: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7"/>
              <w:rPr>
                <w:rFonts w:hint="eastAsia" w:eastAsia="宋体"/>
                <w:sz w:val="22"/>
                <w:lang w:val="en-US" w:eastAsia="zh-CN"/>
              </w:rPr>
            </w:pPr>
            <w:r>
              <w:rPr>
                <w:rFonts w:hint="eastAsia"/>
                <w:sz w:val="22"/>
                <w:lang w:val="en-US" w:eastAsia="zh-CN"/>
              </w:rPr>
              <w:t>1</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台</w:t>
            </w:r>
          </w:p>
        </w:tc>
        <w:tc>
          <w:tcPr>
            <w:tcW w:w="3512"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p>
        </w:tc>
      </w:tr>
      <w:tr>
        <w:tblPrEx>
          <w:tblCellMar>
            <w:top w:w="15" w:type="dxa"/>
            <w:left w:w="15" w:type="dxa"/>
            <w:bottom w:w="15" w:type="dxa"/>
            <w:right w:w="15" w:type="dxa"/>
          </w:tblCellMar>
        </w:tblPrEx>
        <w:trPr>
          <w:trHeight w:val="510" w:hRule="atLeast"/>
          <w:jc w:val="center"/>
        </w:trPr>
        <w:tc>
          <w:tcPr>
            <w:tcW w:w="705" w:type="dxa"/>
            <w:vMerge w:val="continue"/>
            <w:tcBorders>
              <w:left w:val="single" w:color="000000" w:sz="4" w:space="0"/>
              <w:right w:val="single" w:color="000000" w:sz="4" w:space="0"/>
            </w:tcBorders>
            <w:vAlign w:val="center"/>
          </w:tcPr>
          <w:p>
            <w:pPr>
              <w:pStyle w:val="27"/>
              <w:rPr>
                <w:sz w:val="22"/>
              </w:rPr>
            </w:pPr>
          </w:p>
        </w:tc>
        <w:tc>
          <w:tcPr>
            <w:tcW w:w="3199"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多组分</w:t>
            </w:r>
            <w:r>
              <w:rPr>
                <w:sz w:val="22"/>
              </w:rPr>
              <w:t>标准气体</w:t>
            </w:r>
            <w:r>
              <w:rPr>
                <w:rFonts w:hint="eastAsia"/>
                <w:sz w:val="22"/>
              </w:rPr>
              <w:t>2</w:t>
            </w:r>
            <w:r>
              <w:rPr>
                <w:sz w:val="22"/>
              </w:rPr>
              <w:t>L</w:t>
            </w: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7"/>
              <w:rPr>
                <w:rFonts w:hint="eastAsia" w:eastAsia="宋体"/>
                <w:sz w:val="22"/>
                <w:lang w:val="en-US" w:eastAsia="zh-CN"/>
              </w:rPr>
            </w:pPr>
            <w:r>
              <w:rPr>
                <w:rFonts w:hint="eastAsia"/>
                <w:sz w:val="22"/>
                <w:lang w:val="en-US" w:eastAsia="zh-CN"/>
              </w:rPr>
              <w:t>4</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瓶</w:t>
            </w:r>
          </w:p>
        </w:tc>
        <w:tc>
          <w:tcPr>
            <w:tcW w:w="3512"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Style w:val="29"/>
                <w:rFonts w:ascii="宋体" w:hAnsi="宋体"/>
                <w:sz w:val="24"/>
                <w:szCs w:val="24"/>
              </w:rPr>
              <w:t>CO、CO2、CH4、O2、H2、N2、C2H4、C2H6、C2H2、C3H6</w:t>
            </w:r>
          </w:p>
        </w:tc>
      </w:tr>
      <w:tr>
        <w:tblPrEx>
          <w:tblCellMar>
            <w:top w:w="15" w:type="dxa"/>
            <w:left w:w="15" w:type="dxa"/>
            <w:bottom w:w="15" w:type="dxa"/>
            <w:right w:w="15" w:type="dxa"/>
          </w:tblCellMar>
        </w:tblPrEx>
        <w:trPr>
          <w:trHeight w:val="510" w:hRule="atLeast"/>
          <w:jc w:val="center"/>
        </w:trPr>
        <w:tc>
          <w:tcPr>
            <w:tcW w:w="705" w:type="dxa"/>
            <w:vMerge w:val="continue"/>
            <w:tcBorders>
              <w:left w:val="single" w:color="000000" w:sz="4" w:space="0"/>
              <w:right w:val="single" w:color="000000" w:sz="4" w:space="0"/>
            </w:tcBorders>
            <w:vAlign w:val="center"/>
          </w:tcPr>
          <w:p>
            <w:pPr>
              <w:pStyle w:val="27"/>
              <w:rPr>
                <w:sz w:val="22"/>
              </w:rPr>
            </w:pPr>
          </w:p>
        </w:tc>
        <w:tc>
          <w:tcPr>
            <w:tcW w:w="3199"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氦气</w:t>
            </w:r>
            <w:r>
              <w:rPr>
                <w:sz w:val="22"/>
              </w:rPr>
              <w:t>标准气体</w:t>
            </w: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7"/>
              <w:rPr>
                <w:rFonts w:hint="eastAsia" w:eastAsia="宋体"/>
                <w:sz w:val="22"/>
                <w:lang w:val="en-US" w:eastAsia="zh-CN"/>
              </w:rPr>
            </w:pPr>
            <w:r>
              <w:rPr>
                <w:rFonts w:hint="eastAsia"/>
                <w:sz w:val="22"/>
                <w:lang w:val="en-US" w:eastAsia="zh-CN"/>
              </w:rPr>
              <w:t>6</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瓶</w:t>
            </w:r>
          </w:p>
        </w:tc>
        <w:tc>
          <w:tcPr>
            <w:tcW w:w="3512"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p>
        </w:tc>
      </w:tr>
      <w:tr>
        <w:tblPrEx>
          <w:tblCellMar>
            <w:top w:w="15" w:type="dxa"/>
            <w:left w:w="15" w:type="dxa"/>
            <w:bottom w:w="15" w:type="dxa"/>
            <w:right w:w="15" w:type="dxa"/>
          </w:tblCellMar>
        </w:tblPrEx>
        <w:trPr>
          <w:trHeight w:val="510" w:hRule="atLeast"/>
          <w:jc w:val="center"/>
        </w:trPr>
        <w:tc>
          <w:tcPr>
            <w:tcW w:w="705" w:type="dxa"/>
            <w:vMerge w:val="continue"/>
            <w:tcBorders>
              <w:left w:val="single" w:color="000000" w:sz="4" w:space="0"/>
              <w:right w:val="single" w:color="000000" w:sz="4" w:space="0"/>
            </w:tcBorders>
            <w:vAlign w:val="center"/>
          </w:tcPr>
          <w:p>
            <w:pPr>
              <w:pStyle w:val="27"/>
              <w:rPr>
                <w:sz w:val="22"/>
              </w:rPr>
            </w:pPr>
          </w:p>
        </w:tc>
        <w:tc>
          <w:tcPr>
            <w:tcW w:w="3199"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束管安装配件</w:t>
            </w: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sz w:val="22"/>
              </w:rPr>
              <w:t>1</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套</w:t>
            </w:r>
          </w:p>
        </w:tc>
        <w:tc>
          <w:tcPr>
            <w:tcW w:w="3512" w:type="dxa"/>
            <w:tcBorders>
              <w:top w:val="single" w:color="000000" w:sz="4" w:space="0"/>
              <w:left w:val="single" w:color="000000" w:sz="4" w:space="0"/>
              <w:bottom w:val="single" w:color="000000" w:sz="4" w:space="0"/>
              <w:right w:val="single" w:color="000000" w:sz="4" w:space="0"/>
            </w:tcBorders>
            <w:vAlign w:val="center"/>
          </w:tcPr>
          <w:p>
            <w:pPr>
              <w:pStyle w:val="27"/>
              <w:rPr>
                <w:rFonts w:hint="default" w:eastAsia="宋体"/>
                <w:sz w:val="22"/>
                <w:lang w:val="en-US" w:eastAsia="zh-CN"/>
              </w:rPr>
            </w:pPr>
            <w:r>
              <w:rPr>
                <w:rFonts w:hint="eastAsia"/>
                <w:sz w:val="22"/>
                <w:lang w:val="en-US" w:eastAsia="zh-CN"/>
              </w:rPr>
              <w:t>包含100个束管接头、20个粉尘过滤器。</w:t>
            </w:r>
          </w:p>
        </w:tc>
      </w:tr>
      <w:tr>
        <w:tblPrEx>
          <w:tblCellMar>
            <w:top w:w="15" w:type="dxa"/>
            <w:left w:w="15" w:type="dxa"/>
            <w:bottom w:w="15" w:type="dxa"/>
            <w:right w:w="15" w:type="dxa"/>
          </w:tblCellMar>
        </w:tblPrEx>
        <w:trPr>
          <w:trHeight w:val="510" w:hRule="atLeast"/>
          <w:jc w:val="center"/>
        </w:trPr>
        <w:tc>
          <w:tcPr>
            <w:tcW w:w="705" w:type="dxa"/>
            <w:vMerge w:val="restart"/>
            <w:tcBorders>
              <w:top w:val="single" w:color="auto" w:sz="4" w:space="0"/>
              <w:left w:val="single" w:color="000000" w:sz="4" w:space="0"/>
              <w:right w:val="single" w:color="000000" w:sz="4" w:space="0"/>
            </w:tcBorders>
            <w:vAlign w:val="center"/>
          </w:tcPr>
          <w:p>
            <w:pPr>
              <w:pStyle w:val="27"/>
              <w:rPr>
                <w:sz w:val="22"/>
              </w:rPr>
            </w:pPr>
            <w:r>
              <w:rPr>
                <w:rFonts w:hint="eastAsia"/>
                <w:sz w:val="22"/>
              </w:rPr>
              <w:t>其他</w:t>
            </w:r>
          </w:p>
        </w:tc>
        <w:tc>
          <w:tcPr>
            <w:tcW w:w="3199"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打印机</w:t>
            </w: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rPr>
              <w:t>1</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台</w:t>
            </w:r>
          </w:p>
        </w:tc>
        <w:tc>
          <w:tcPr>
            <w:tcW w:w="3512"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p>
        </w:tc>
      </w:tr>
      <w:tr>
        <w:tblPrEx>
          <w:tblCellMar>
            <w:top w:w="15" w:type="dxa"/>
            <w:left w:w="15" w:type="dxa"/>
            <w:bottom w:w="15" w:type="dxa"/>
            <w:right w:w="15" w:type="dxa"/>
          </w:tblCellMar>
        </w:tblPrEx>
        <w:trPr>
          <w:trHeight w:val="510" w:hRule="atLeast"/>
          <w:jc w:val="center"/>
        </w:trPr>
        <w:tc>
          <w:tcPr>
            <w:tcW w:w="705" w:type="dxa"/>
            <w:vMerge w:val="continue"/>
            <w:tcBorders>
              <w:left w:val="single" w:color="000000" w:sz="4" w:space="0"/>
              <w:bottom w:val="single" w:color="auto" w:sz="4" w:space="0"/>
              <w:right w:val="single" w:color="000000" w:sz="4" w:space="0"/>
            </w:tcBorders>
            <w:vAlign w:val="center"/>
          </w:tcPr>
          <w:p>
            <w:pPr>
              <w:pStyle w:val="27"/>
              <w:jc w:val="both"/>
              <w:rPr>
                <w:sz w:val="22"/>
              </w:rPr>
            </w:pPr>
          </w:p>
        </w:tc>
        <w:tc>
          <w:tcPr>
            <w:tcW w:w="3199" w:type="dxa"/>
            <w:tcBorders>
              <w:top w:val="single" w:color="000000" w:sz="4" w:space="0"/>
              <w:left w:val="single" w:color="000000" w:sz="4" w:space="0"/>
              <w:bottom w:val="single" w:color="auto" w:sz="4" w:space="0"/>
              <w:right w:val="single" w:color="000000" w:sz="4" w:space="0"/>
            </w:tcBorders>
            <w:vAlign w:val="center"/>
          </w:tcPr>
          <w:p>
            <w:pPr>
              <w:pStyle w:val="27"/>
              <w:rPr>
                <w:sz w:val="22"/>
              </w:rPr>
            </w:pPr>
            <w:r>
              <w:rPr>
                <w:rFonts w:hint="eastAsia"/>
                <w:sz w:val="22"/>
              </w:rPr>
              <w:t>相关资料</w:t>
            </w: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1</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宗</w:t>
            </w:r>
          </w:p>
        </w:tc>
        <w:tc>
          <w:tcPr>
            <w:tcW w:w="3512"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p>
        </w:tc>
      </w:tr>
    </w:tbl>
    <w:p>
      <w:pPr>
        <w:ind w:firstLine="0" w:firstLineChars="0"/>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440" w:bottom="1486" w:left="1440"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5410AD"/>
    <w:multiLevelType w:val="multilevel"/>
    <w:tmpl w:val="145410AD"/>
    <w:lvl w:ilvl="0" w:tentative="0">
      <w:start w:val="1"/>
      <w:numFmt w:val="decimal"/>
      <w:suff w:val="nothing"/>
      <w:lvlText w:val="%1."/>
      <w:lvlJc w:val="left"/>
      <w:pPr>
        <w:ind w:left="900" w:hanging="420"/>
      </w:pPr>
      <w:rPr>
        <w:rFonts w:hint="eastAsia" w:eastAsia="楷体"/>
        <w:sz w:val="21"/>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
    <w:nsid w:val="39048CAB"/>
    <w:multiLevelType w:val="singleLevel"/>
    <w:tmpl w:val="39048CAB"/>
    <w:lvl w:ilvl="0" w:tentative="0">
      <w:start w:val="10"/>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4553"/>
    <w:rsid w:val="000000AD"/>
    <w:rsid w:val="000010E2"/>
    <w:rsid w:val="00020895"/>
    <w:rsid w:val="000344B6"/>
    <w:rsid w:val="000414DE"/>
    <w:rsid w:val="00041911"/>
    <w:rsid w:val="00042842"/>
    <w:rsid w:val="00045787"/>
    <w:rsid w:val="0005214F"/>
    <w:rsid w:val="00075469"/>
    <w:rsid w:val="000806D7"/>
    <w:rsid w:val="00082FC1"/>
    <w:rsid w:val="00086A18"/>
    <w:rsid w:val="00093E17"/>
    <w:rsid w:val="00094DA5"/>
    <w:rsid w:val="00095155"/>
    <w:rsid w:val="000A54BB"/>
    <w:rsid w:val="000A563C"/>
    <w:rsid w:val="000C4826"/>
    <w:rsid w:val="000D0635"/>
    <w:rsid w:val="000E01B5"/>
    <w:rsid w:val="000E434B"/>
    <w:rsid w:val="000F30D4"/>
    <w:rsid w:val="000F4F93"/>
    <w:rsid w:val="000F6E25"/>
    <w:rsid w:val="000F753F"/>
    <w:rsid w:val="00101DB9"/>
    <w:rsid w:val="00106F8C"/>
    <w:rsid w:val="001276F1"/>
    <w:rsid w:val="00135CB9"/>
    <w:rsid w:val="001378F0"/>
    <w:rsid w:val="00153AA5"/>
    <w:rsid w:val="00155939"/>
    <w:rsid w:val="00157478"/>
    <w:rsid w:val="00170090"/>
    <w:rsid w:val="00176123"/>
    <w:rsid w:val="00181E99"/>
    <w:rsid w:val="00193769"/>
    <w:rsid w:val="00197A14"/>
    <w:rsid w:val="001E11C0"/>
    <w:rsid w:val="00201EAB"/>
    <w:rsid w:val="00201FDE"/>
    <w:rsid w:val="0021078E"/>
    <w:rsid w:val="00216A1D"/>
    <w:rsid w:val="002203D6"/>
    <w:rsid w:val="002211AB"/>
    <w:rsid w:val="00227C35"/>
    <w:rsid w:val="00236662"/>
    <w:rsid w:val="00244D61"/>
    <w:rsid w:val="00250AD5"/>
    <w:rsid w:val="002600C9"/>
    <w:rsid w:val="00267626"/>
    <w:rsid w:val="00277DB5"/>
    <w:rsid w:val="002825D4"/>
    <w:rsid w:val="002A15FB"/>
    <w:rsid w:val="002A3D8F"/>
    <w:rsid w:val="002A7BEA"/>
    <w:rsid w:val="002B26A2"/>
    <w:rsid w:val="002C211F"/>
    <w:rsid w:val="002D3317"/>
    <w:rsid w:val="002D447D"/>
    <w:rsid w:val="002D5E0F"/>
    <w:rsid w:val="002E194A"/>
    <w:rsid w:val="002E6781"/>
    <w:rsid w:val="002F33F5"/>
    <w:rsid w:val="00301C29"/>
    <w:rsid w:val="00307D4B"/>
    <w:rsid w:val="003130F2"/>
    <w:rsid w:val="0031520C"/>
    <w:rsid w:val="003156A8"/>
    <w:rsid w:val="00354D2A"/>
    <w:rsid w:val="00370C14"/>
    <w:rsid w:val="00372909"/>
    <w:rsid w:val="00376DDD"/>
    <w:rsid w:val="00383FF2"/>
    <w:rsid w:val="00384CE0"/>
    <w:rsid w:val="003A488E"/>
    <w:rsid w:val="003D2378"/>
    <w:rsid w:val="003D2430"/>
    <w:rsid w:val="003D295E"/>
    <w:rsid w:val="003D2EAE"/>
    <w:rsid w:val="003D582E"/>
    <w:rsid w:val="00413ED3"/>
    <w:rsid w:val="00440334"/>
    <w:rsid w:val="00445372"/>
    <w:rsid w:val="00450B1F"/>
    <w:rsid w:val="00451AD0"/>
    <w:rsid w:val="004614E4"/>
    <w:rsid w:val="00467719"/>
    <w:rsid w:val="00474E80"/>
    <w:rsid w:val="00477C80"/>
    <w:rsid w:val="00483685"/>
    <w:rsid w:val="004B3857"/>
    <w:rsid w:val="004B4B7A"/>
    <w:rsid w:val="004C4973"/>
    <w:rsid w:val="004C55E5"/>
    <w:rsid w:val="004D05DA"/>
    <w:rsid w:val="004E28CC"/>
    <w:rsid w:val="004F7132"/>
    <w:rsid w:val="0050529C"/>
    <w:rsid w:val="00512091"/>
    <w:rsid w:val="00514F86"/>
    <w:rsid w:val="00516FCE"/>
    <w:rsid w:val="005214A5"/>
    <w:rsid w:val="0053084C"/>
    <w:rsid w:val="00535B29"/>
    <w:rsid w:val="005412A5"/>
    <w:rsid w:val="00546E9E"/>
    <w:rsid w:val="00552424"/>
    <w:rsid w:val="0055797D"/>
    <w:rsid w:val="00576B1D"/>
    <w:rsid w:val="0058173F"/>
    <w:rsid w:val="0058350A"/>
    <w:rsid w:val="005842B5"/>
    <w:rsid w:val="00593417"/>
    <w:rsid w:val="005A6769"/>
    <w:rsid w:val="005B3F4D"/>
    <w:rsid w:val="005E0FF5"/>
    <w:rsid w:val="005E14A2"/>
    <w:rsid w:val="006066AD"/>
    <w:rsid w:val="006200FA"/>
    <w:rsid w:val="006274E2"/>
    <w:rsid w:val="0068564F"/>
    <w:rsid w:val="006A0546"/>
    <w:rsid w:val="006A089E"/>
    <w:rsid w:val="006A7890"/>
    <w:rsid w:val="006B1597"/>
    <w:rsid w:val="006B1C96"/>
    <w:rsid w:val="006C582F"/>
    <w:rsid w:val="006C5C90"/>
    <w:rsid w:val="006C6BA3"/>
    <w:rsid w:val="006E1A9C"/>
    <w:rsid w:val="006E6A0C"/>
    <w:rsid w:val="006F3914"/>
    <w:rsid w:val="006F55AE"/>
    <w:rsid w:val="00702279"/>
    <w:rsid w:val="00721C7C"/>
    <w:rsid w:val="007231DA"/>
    <w:rsid w:val="007267FB"/>
    <w:rsid w:val="00757A67"/>
    <w:rsid w:val="00764C4C"/>
    <w:rsid w:val="007659D1"/>
    <w:rsid w:val="00777491"/>
    <w:rsid w:val="007847B1"/>
    <w:rsid w:val="007965EF"/>
    <w:rsid w:val="007B0123"/>
    <w:rsid w:val="007C1BE3"/>
    <w:rsid w:val="007C3CD2"/>
    <w:rsid w:val="007C3F48"/>
    <w:rsid w:val="007C4C67"/>
    <w:rsid w:val="007F640A"/>
    <w:rsid w:val="00803D43"/>
    <w:rsid w:val="0081506D"/>
    <w:rsid w:val="008165D2"/>
    <w:rsid w:val="0082126C"/>
    <w:rsid w:val="008274B0"/>
    <w:rsid w:val="00841A74"/>
    <w:rsid w:val="00843A56"/>
    <w:rsid w:val="00861D39"/>
    <w:rsid w:val="00863A21"/>
    <w:rsid w:val="0087235B"/>
    <w:rsid w:val="00876DF9"/>
    <w:rsid w:val="00884879"/>
    <w:rsid w:val="0089094B"/>
    <w:rsid w:val="008923C4"/>
    <w:rsid w:val="00895DDA"/>
    <w:rsid w:val="00897A39"/>
    <w:rsid w:val="008A69BA"/>
    <w:rsid w:val="008B33DF"/>
    <w:rsid w:val="008B6AF5"/>
    <w:rsid w:val="008C347A"/>
    <w:rsid w:val="008D0A38"/>
    <w:rsid w:val="008E394D"/>
    <w:rsid w:val="008F77F3"/>
    <w:rsid w:val="0090101E"/>
    <w:rsid w:val="00910A1F"/>
    <w:rsid w:val="00911672"/>
    <w:rsid w:val="00915440"/>
    <w:rsid w:val="009219ED"/>
    <w:rsid w:val="009258FB"/>
    <w:rsid w:val="0093049F"/>
    <w:rsid w:val="009359F4"/>
    <w:rsid w:val="00957418"/>
    <w:rsid w:val="00964BF1"/>
    <w:rsid w:val="00970559"/>
    <w:rsid w:val="009763C9"/>
    <w:rsid w:val="00976677"/>
    <w:rsid w:val="009769FF"/>
    <w:rsid w:val="00981D05"/>
    <w:rsid w:val="009A7890"/>
    <w:rsid w:val="009C311B"/>
    <w:rsid w:val="009C59BB"/>
    <w:rsid w:val="009D7F83"/>
    <w:rsid w:val="00A05933"/>
    <w:rsid w:val="00A07B5F"/>
    <w:rsid w:val="00A158AC"/>
    <w:rsid w:val="00A17FB5"/>
    <w:rsid w:val="00A25F76"/>
    <w:rsid w:val="00A30321"/>
    <w:rsid w:val="00A5032B"/>
    <w:rsid w:val="00A5070B"/>
    <w:rsid w:val="00A64634"/>
    <w:rsid w:val="00A82A18"/>
    <w:rsid w:val="00AA4098"/>
    <w:rsid w:val="00AA7D81"/>
    <w:rsid w:val="00AB00E6"/>
    <w:rsid w:val="00AB04F6"/>
    <w:rsid w:val="00AB379D"/>
    <w:rsid w:val="00AB3906"/>
    <w:rsid w:val="00AB720C"/>
    <w:rsid w:val="00AC3BF1"/>
    <w:rsid w:val="00AC5C8D"/>
    <w:rsid w:val="00B12429"/>
    <w:rsid w:val="00B12874"/>
    <w:rsid w:val="00B13709"/>
    <w:rsid w:val="00B145E7"/>
    <w:rsid w:val="00B23B49"/>
    <w:rsid w:val="00B25799"/>
    <w:rsid w:val="00B31FDD"/>
    <w:rsid w:val="00B444E9"/>
    <w:rsid w:val="00B47BD2"/>
    <w:rsid w:val="00B53928"/>
    <w:rsid w:val="00B56F09"/>
    <w:rsid w:val="00B67130"/>
    <w:rsid w:val="00B71D33"/>
    <w:rsid w:val="00B84CC6"/>
    <w:rsid w:val="00BB13F9"/>
    <w:rsid w:val="00BD1B9F"/>
    <w:rsid w:val="00BD1D00"/>
    <w:rsid w:val="00BD74C5"/>
    <w:rsid w:val="00BE72E2"/>
    <w:rsid w:val="00BF4553"/>
    <w:rsid w:val="00C023A3"/>
    <w:rsid w:val="00C10FFD"/>
    <w:rsid w:val="00C238BF"/>
    <w:rsid w:val="00C32835"/>
    <w:rsid w:val="00C41EDC"/>
    <w:rsid w:val="00C43C32"/>
    <w:rsid w:val="00C561A4"/>
    <w:rsid w:val="00C604E3"/>
    <w:rsid w:val="00C631FA"/>
    <w:rsid w:val="00C64BBF"/>
    <w:rsid w:val="00C77D7C"/>
    <w:rsid w:val="00C81E1D"/>
    <w:rsid w:val="00CA1EAE"/>
    <w:rsid w:val="00CB7F0B"/>
    <w:rsid w:val="00CC4B2F"/>
    <w:rsid w:val="00CF1AE6"/>
    <w:rsid w:val="00CF5572"/>
    <w:rsid w:val="00D0241F"/>
    <w:rsid w:val="00D1647F"/>
    <w:rsid w:val="00D2679B"/>
    <w:rsid w:val="00D3797A"/>
    <w:rsid w:val="00D622A7"/>
    <w:rsid w:val="00D720EC"/>
    <w:rsid w:val="00D911D5"/>
    <w:rsid w:val="00D94E4F"/>
    <w:rsid w:val="00DA7CE0"/>
    <w:rsid w:val="00DB74BB"/>
    <w:rsid w:val="00DC30EA"/>
    <w:rsid w:val="00DD00C8"/>
    <w:rsid w:val="00DE343B"/>
    <w:rsid w:val="00E053E1"/>
    <w:rsid w:val="00E064BE"/>
    <w:rsid w:val="00E14B88"/>
    <w:rsid w:val="00E41D10"/>
    <w:rsid w:val="00E4738A"/>
    <w:rsid w:val="00E76511"/>
    <w:rsid w:val="00E80DCA"/>
    <w:rsid w:val="00EE712D"/>
    <w:rsid w:val="00EF0DDE"/>
    <w:rsid w:val="00EF2B61"/>
    <w:rsid w:val="00EF65A0"/>
    <w:rsid w:val="00F20C92"/>
    <w:rsid w:val="00F23DDE"/>
    <w:rsid w:val="00F3133C"/>
    <w:rsid w:val="00F443B9"/>
    <w:rsid w:val="00F44837"/>
    <w:rsid w:val="00F47B3B"/>
    <w:rsid w:val="00F808D9"/>
    <w:rsid w:val="00F8323E"/>
    <w:rsid w:val="00F8335F"/>
    <w:rsid w:val="00F861DB"/>
    <w:rsid w:val="00F86B51"/>
    <w:rsid w:val="00F947CF"/>
    <w:rsid w:val="00FB0249"/>
    <w:rsid w:val="00FC19F0"/>
    <w:rsid w:val="00FD6707"/>
    <w:rsid w:val="02090AEC"/>
    <w:rsid w:val="02C40B00"/>
    <w:rsid w:val="0395627E"/>
    <w:rsid w:val="044D156D"/>
    <w:rsid w:val="063C4335"/>
    <w:rsid w:val="07094ACC"/>
    <w:rsid w:val="07945353"/>
    <w:rsid w:val="08386081"/>
    <w:rsid w:val="09E34EC6"/>
    <w:rsid w:val="0A070132"/>
    <w:rsid w:val="0A43635E"/>
    <w:rsid w:val="0A896192"/>
    <w:rsid w:val="0B0434E5"/>
    <w:rsid w:val="0E455347"/>
    <w:rsid w:val="0EE70D06"/>
    <w:rsid w:val="10685FE5"/>
    <w:rsid w:val="11B6743E"/>
    <w:rsid w:val="138E73D6"/>
    <w:rsid w:val="14D13223"/>
    <w:rsid w:val="161C1A54"/>
    <w:rsid w:val="167E4E4B"/>
    <w:rsid w:val="178634ED"/>
    <w:rsid w:val="191C138A"/>
    <w:rsid w:val="1B971420"/>
    <w:rsid w:val="1BEB07DF"/>
    <w:rsid w:val="1C971E2C"/>
    <w:rsid w:val="1F1C4D17"/>
    <w:rsid w:val="21113786"/>
    <w:rsid w:val="232B3CE8"/>
    <w:rsid w:val="242A24B8"/>
    <w:rsid w:val="24B630AB"/>
    <w:rsid w:val="28AB57A7"/>
    <w:rsid w:val="2D7341B5"/>
    <w:rsid w:val="31A92D77"/>
    <w:rsid w:val="3509336E"/>
    <w:rsid w:val="36243397"/>
    <w:rsid w:val="36B93892"/>
    <w:rsid w:val="3BF12DE0"/>
    <w:rsid w:val="3CFA4547"/>
    <w:rsid w:val="44840D03"/>
    <w:rsid w:val="45EB198A"/>
    <w:rsid w:val="460D07C3"/>
    <w:rsid w:val="46804E07"/>
    <w:rsid w:val="486C3AC0"/>
    <w:rsid w:val="4A001CD3"/>
    <w:rsid w:val="4B752E75"/>
    <w:rsid w:val="4BAC0C9C"/>
    <w:rsid w:val="4E01555A"/>
    <w:rsid w:val="5061436D"/>
    <w:rsid w:val="53E55886"/>
    <w:rsid w:val="554C55AE"/>
    <w:rsid w:val="567D12C4"/>
    <w:rsid w:val="5FBA5F17"/>
    <w:rsid w:val="606E2D3D"/>
    <w:rsid w:val="619D4A64"/>
    <w:rsid w:val="63933843"/>
    <w:rsid w:val="663D2868"/>
    <w:rsid w:val="67EC2396"/>
    <w:rsid w:val="68992E6B"/>
    <w:rsid w:val="6D1B4647"/>
    <w:rsid w:val="6D7B3470"/>
    <w:rsid w:val="70251252"/>
    <w:rsid w:val="70D76ACE"/>
    <w:rsid w:val="76497A1E"/>
    <w:rsid w:val="76930962"/>
    <w:rsid w:val="7B916689"/>
    <w:rsid w:val="7C173640"/>
    <w:rsid w:val="7D37370D"/>
    <w:rsid w:val="7EA92321"/>
    <w:rsid w:val="7F7B05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200" w:firstLineChars="200"/>
      <w:jc w:val="both"/>
    </w:pPr>
    <w:rPr>
      <w:rFonts w:ascii="Calibri" w:hAnsi="Calibri" w:eastAsia="宋体" w:cs="Times New Roman"/>
      <w:kern w:val="2"/>
      <w:sz w:val="24"/>
      <w:szCs w:val="22"/>
      <w:lang w:val="en-US" w:eastAsia="zh-CN" w:bidi="ar-SA"/>
    </w:rPr>
  </w:style>
  <w:style w:type="paragraph" w:styleId="4">
    <w:name w:val="heading 1"/>
    <w:basedOn w:val="1"/>
    <w:next w:val="1"/>
    <w:link w:val="24"/>
    <w:qFormat/>
    <w:uiPriority w:val="0"/>
    <w:pPr>
      <w:keepNext/>
      <w:keepLines/>
      <w:spacing w:before="340" w:after="330" w:line="578" w:lineRule="auto"/>
      <w:outlineLvl w:val="0"/>
    </w:pPr>
    <w:rPr>
      <w:b/>
      <w:bCs/>
      <w:kern w:val="44"/>
      <w:sz w:val="44"/>
      <w:szCs w:val="44"/>
    </w:rPr>
  </w:style>
  <w:style w:type="paragraph" w:styleId="5">
    <w:name w:val="heading 2"/>
    <w:basedOn w:val="1"/>
    <w:next w:val="1"/>
    <w:link w:val="25"/>
    <w:unhideWhenUsed/>
    <w:qFormat/>
    <w:uiPriority w:val="0"/>
    <w:pPr>
      <w:keepNext/>
      <w:keepLines/>
      <w:spacing w:before="260" w:after="260" w:line="240" w:lineRule="auto"/>
      <w:outlineLvl w:val="1"/>
    </w:pPr>
    <w:rPr>
      <w:rFonts w:ascii="Cambria" w:hAnsi="Cambria"/>
      <w:b/>
      <w:bCs/>
      <w:sz w:val="32"/>
      <w:szCs w:val="32"/>
    </w:rPr>
  </w:style>
  <w:style w:type="paragraph" w:styleId="6">
    <w:name w:val="heading 3"/>
    <w:next w:val="1"/>
    <w:link w:val="17"/>
    <w:qFormat/>
    <w:uiPriority w:val="0"/>
    <w:pPr>
      <w:keepNext/>
      <w:keepLines/>
      <w:spacing w:line="360" w:lineRule="auto"/>
      <w:outlineLvl w:val="2"/>
    </w:pPr>
    <w:rPr>
      <w:rFonts w:ascii="宋体" w:hAnsi="宋体" w:eastAsia="黑体" w:cs="Times New Roman"/>
      <w:b/>
      <w:bCs/>
      <w:color w:val="000000"/>
      <w:sz w:val="28"/>
      <w:szCs w:val="28"/>
      <w:lang w:val="en-US" w:eastAsia="zh-CN" w:bidi="ar-SA"/>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customStyle="1" w:styleId="2">
    <w:name w:val="正文文本首行缩进 21"/>
    <w:basedOn w:val="3"/>
    <w:qFormat/>
    <w:uiPriority w:val="0"/>
    <w:pPr>
      <w:ind w:firstLine="420"/>
    </w:pPr>
  </w:style>
  <w:style w:type="paragraph" w:customStyle="1" w:styleId="3">
    <w:name w:val="正文文本缩进1"/>
    <w:basedOn w:val="1"/>
    <w:qFormat/>
    <w:uiPriority w:val="0"/>
    <w:pPr>
      <w:spacing w:after="120" w:afterLines="0"/>
      <w:ind w:left="420" w:leftChars="200"/>
    </w:pPr>
    <w:rPr>
      <w:rFonts w:ascii="Times New Roman" w:hAnsi="Times New Roman"/>
      <w:szCs w:val="24"/>
    </w:rPr>
  </w:style>
  <w:style w:type="paragraph" w:styleId="7">
    <w:name w:val="Plain Text"/>
    <w:basedOn w:val="1"/>
    <w:next w:val="8"/>
    <w:qFormat/>
    <w:uiPriority w:val="0"/>
    <w:rPr>
      <w:rFonts w:ascii="宋体" w:hAnsi="Courier New"/>
      <w:szCs w:val="20"/>
    </w:rPr>
  </w:style>
  <w:style w:type="paragraph" w:styleId="8">
    <w:name w:val="toc 2"/>
    <w:basedOn w:val="1"/>
    <w:next w:val="1"/>
    <w:unhideWhenUsed/>
    <w:qFormat/>
    <w:uiPriority w:val="39"/>
    <w:pPr>
      <w:ind w:left="420" w:leftChars="200"/>
    </w:pPr>
  </w:style>
  <w:style w:type="paragraph" w:styleId="9">
    <w:name w:val="Date"/>
    <w:basedOn w:val="1"/>
    <w:next w:val="1"/>
    <w:link w:val="20"/>
    <w:qFormat/>
    <w:uiPriority w:val="0"/>
    <w:pPr>
      <w:ind w:left="100" w:leftChars="2500"/>
    </w:pPr>
    <w:rPr>
      <w:rFonts w:ascii="宋体" w:hAnsi="Courier New"/>
      <w:sz w:val="36"/>
      <w:szCs w:val="21"/>
    </w:rPr>
  </w:style>
  <w:style w:type="paragraph" w:styleId="10">
    <w:name w:val="footer"/>
    <w:basedOn w:val="1"/>
    <w:link w:val="19"/>
    <w:qFormat/>
    <w:uiPriority w:val="0"/>
    <w:pPr>
      <w:tabs>
        <w:tab w:val="center" w:pos="4153"/>
        <w:tab w:val="right" w:pos="8306"/>
      </w:tabs>
      <w:snapToGrid w:val="0"/>
      <w:jc w:val="left"/>
    </w:pPr>
    <w:rPr>
      <w:sz w:val="18"/>
      <w:szCs w:val="18"/>
    </w:rPr>
  </w:style>
  <w:style w:type="paragraph" w:styleId="11">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12">
    <w:name w:val="Subtitle"/>
    <w:basedOn w:val="1"/>
    <w:next w:val="1"/>
    <w:link w:val="26"/>
    <w:qFormat/>
    <w:uiPriority w:val="11"/>
    <w:pPr>
      <w:widowControl/>
      <w:spacing w:beforeLines="50" w:afterLines="50" w:line="240" w:lineRule="auto"/>
    </w:pPr>
    <w:rPr>
      <w:rFonts w:ascii="Calibri Light" w:hAnsi="Calibri Light"/>
      <w:kern w:val="0"/>
    </w:rPr>
  </w:style>
  <w:style w:type="table" w:styleId="14">
    <w:name w:val="Table Grid"/>
    <w:basedOn w:val="1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表格文字"/>
    <w:basedOn w:val="7"/>
    <w:next w:val="1"/>
    <w:qFormat/>
    <w:uiPriority w:val="0"/>
    <w:pPr>
      <w:adjustRightInd w:val="0"/>
      <w:spacing w:line="420" w:lineRule="atLeast"/>
      <w:jc w:val="left"/>
      <w:textAlignment w:val="baseline"/>
    </w:pPr>
    <w:rPr>
      <w:kern w:val="0"/>
    </w:rPr>
  </w:style>
  <w:style w:type="character" w:customStyle="1" w:styleId="17">
    <w:name w:val="标题 3 字符"/>
    <w:link w:val="6"/>
    <w:qFormat/>
    <w:uiPriority w:val="0"/>
    <w:rPr>
      <w:rFonts w:ascii="宋体" w:hAnsi="宋体" w:eastAsia="黑体"/>
      <w:b/>
      <w:bCs/>
      <w:color w:val="000000"/>
      <w:sz w:val="28"/>
      <w:szCs w:val="28"/>
      <w:lang w:val="en-US" w:eastAsia="zh-CN" w:bidi="ar-SA"/>
    </w:rPr>
  </w:style>
  <w:style w:type="character" w:customStyle="1" w:styleId="18">
    <w:name w:val="页眉 字符"/>
    <w:link w:val="11"/>
    <w:qFormat/>
    <w:uiPriority w:val="0"/>
    <w:rPr>
      <w:rFonts w:ascii="Calibri" w:hAnsi="Calibri"/>
      <w:kern w:val="2"/>
      <w:sz w:val="18"/>
      <w:szCs w:val="18"/>
    </w:rPr>
  </w:style>
  <w:style w:type="character" w:customStyle="1" w:styleId="19">
    <w:name w:val="页脚 字符"/>
    <w:link w:val="10"/>
    <w:qFormat/>
    <w:uiPriority w:val="0"/>
    <w:rPr>
      <w:rFonts w:ascii="Calibri" w:hAnsi="Calibri"/>
      <w:kern w:val="2"/>
      <w:sz w:val="18"/>
      <w:szCs w:val="18"/>
    </w:rPr>
  </w:style>
  <w:style w:type="character" w:customStyle="1" w:styleId="20">
    <w:name w:val="日期 字符"/>
    <w:link w:val="9"/>
    <w:qFormat/>
    <w:uiPriority w:val="0"/>
    <w:rPr>
      <w:rFonts w:ascii="宋体" w:hAnsi="Courier New" w:cs="Courier New"/>
      <w:kern w:val="2"/>
      <w:sz w:val="36"/>
      <w:szCs w:val="21"/>
    </w:rPr>
  </w:style>
  <w:style w:type="paragraph" w:customStyle="1" w:styleId="21">
    <w:name w:val="列出段落1"/>
    <w:basedOn w:val="1"/>
    <w:qFormat/>
    <w:uiPriority w:val="34"/>
    <w:pPr>
      <w:ind w:firstLine="420"/>
    </w:pPr>
  </w:style>
  <w:style w:type="paragraph" w:styleId="22">
    <w:name w:val="List Paragraph"/>
    <w:basedOn w:val="1"/>
    <w:qFormat/>
    <w:uiPriority w:val="34"/>
    <w:pPr>
      <w:widowControl/>
      <w:spacing w:afterLines="100"/>
      <w:ind w:firstLine="420"/>
    </w:pPr>
    <w:rPr>
      <w:kern w:val="0"/>
      <w:sz w:val="22"/>
    </w:rPr>
  </w:style>
  <w:style w:type="table" w:customStyle="1" w:styleId="23">
    <w:name w:val="网格型1"/>
    <w:basedOn w:val="13"/>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4">
    <w:name w:val="标题 1 字符"/>
    <w:link w:val="4"/>
    <w:qFormat/>
    <w:uiPriority w:val="0"/>
    <w:rPr>
      <w:rFonts w:ascii="Calibri" w:hAnsi="Calibri"/>
      <w:b/>
      <w:bCs/>
      <w:kern w:val="44"/>
      <w:sz w:val="44"/>
      <w:szCs w:val="44"/>
    </w:rPr>
  </w:style>
  <w:style w:type="character" w:customStyle="1" w:styleId="25">
    <w:name w:val="标题 2 字符"/>
    <w:link w:val="5"/>
    <w:qFormat/>
    <w:uiPriority w:val="0"/>
    <w:rPr>
      <w:rFonts w:ascii="Cambria" w:hAnsi="Cambria"/>
      <w:b/>
      <w:bCs/>
      <w:kern w:val="2"/>
      <w:sz w:val="32"/>
      <w:szCs w:val="32"/>
    </w:rPr>
  </w:style>
  <w:style w:type="character" w:customStyle="1" w:styleId="26">
    <w:name w:val="副标题 字符"/>
    <w:link w:val="12"/>
    <w:qFormat/>
    <w:uiPriority w:val="11"/>
    <w:rPr>
      <w:rFonts w:ascii="Calibri Light" w:hAnsi="Calibri Light"/>
      <w:sz w:val="24"/>
      <w:szCs w:val="22"/>
    </w:rPr>
  </w:style>
  <w:style w:type="paragraph" w:customStyle="1" w:styleId="27">
    <w:name w:val="无间隔1"/>
    <w:qFormat/>
    <w:uiPriority w:val="1"/>
    <w:pPr>
      <w:jc w:val="center"/>
    </w:pPr>
    <w:rPr>
      <w:rFonts w:ascii="Calibri" w:hAnsi="Calibri" w:eastAsia="宋体" w:cs="Times New Roman"/>
      <w:sz w:val="21"/>
      <w:szCs w:val="22"/>
      <w:lang w:val="en-US" w:eastAsia="zh-CN" w:bidi="ar-SA"/>
    </w:rPr>
  </w:style>
  <w:style w:type="paragraph" w:customStyle="1" w:styleId="28">
    <w:name w:val="小节标题"/>
    <w:basedOn w:val="1"/>
    <w:next w:val="1"/>
    <w:qFormat/>
    <w:uiPriority w:val="0"/>
    <w:pPr>
      <w:widowControl/>
      <w:autoSpaceDE w:val="0"/>
      <w:autoSpaceDN w:val="0"/>
      <w:spacing w:before="175" w:after="102" w:line="997" w:lineRule="atLeast"/>
      <w:ind w:firstLine="0" w:firstLineChars="0"/>
      <w:jc w:val="left"/>
    </w:pPr>
    <w:rPr>
      <w:rFonts w:ascii="宋体" w:hAnsi="宋体" w:eastAsia="黑体" w:cs="宋体"/>
      <w:color w:val="000000"/>
      <w:kern w:val="0"/>
      <w:sz w:val="22"/>
      <w:szCs w:val="20"/>
      <w:u w:color="000000"/>
      <w:lang w:val="zh-CN" w:bidi="zh-CN"/>
    </w:rPr>
  </w:style>
  <w:style w:type="character" w:customStyle="1" w:styleId="29">
    <w:name w:val="fontstyle01"/>
    <w:basedOn w:val="15"/>
    <w:qFormat/>
    <w:uiPriority w:val="0"/>
    <w:rPr>
      <w:rFonts w:hint="default" w:ascii="仿宋" w:hAnsi="仿宋"/>
      <w:color w:val="000000"/>
      <w:sz w:val="32"/>
      <w:szCs w:val="3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742</Words>
  <Characters>4235</Characters>
  <Lines>35</Lines>
  <Paragraphs>9</Paragraphs>
  <TotalTime>0</TotalTime>
  <ScaleCrop>false</ScaleCrop>
  <LinksUpToDate>false</LinksUpToDate>
  <CharactersWithSpaces>4968</CharactersWithSpaces>
  <Application>WPS Office_11.1.0.10026_F1E327BC-269C-435d-A152-05C5408002CA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2017-02-14T03:09:00Z</dcterms:created>
  <dc:creator>pc</dc:creator>
  <cp:lastModifiedBy>lenovo</cp:lastModifiedBy>
  <cp:lastPrinted>2022-02-26T03:17:00Z</cp:lastPrinted>
  <dcterms:modified xsi:type="dcterms:W3CDTF">2022-02-27T09:24:04Z</dcterms:modified>
  <dc:title>技术规格书</dc:title>
  <cp:revision>232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2052-11.1.0.10026</vt:lpwstr>
  </property>
  <property fmtid="{D5CDD505-2E9C-101B-9397-08002B2CF9AE}" pid="3" name="ICV">
    <vt:lpwstr>E17D66AEF103473287773C074C2F316E</vt:lpwstr>
  </property>
</Properties>
</file>