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lang w:val="en-US" w:eastAsia="zh-CN"/>
        </w:rPr>
      </w:pPr>
      <w:r>
        <w:rPr>
          <w:rFonts w:hint="eastAsia"/>
          <w:sz w:val="30"/>
          <w:szCs w:val="30"/>
          <w:lang w:val="en-US" w:eastAsia="zh-CN"/>
        </w:rPr>
        <w:t>益民煤矿调度液晶大屏技术要求：</w:t>
      </w:r>
    </w:p>
    <w:p>
      <w:pPr>
        <w:pStyle w:val="7"/>
        <w:keepNext/>
        <w:keepLines/>
        <w:numPr>
          <w:ilvl w:val="0"/>
          <w:numId w:val="1"/>
        </w:numPr>
        <w:spacing w:line="360" w:lineRule="auto"/>
        <w:ind w:left="845" w:firstLineChars="0"/>
        <w:jc w:val="left"/>
        <w:rPr>
          <w:rFonts w:ascii="宋体" w:hAnsi="宋体" w:cs="宋体"/>
          <w:b/>
          <w:sz w:val="24"/>
        </w:rPr>
      </w:pPr>
      <w:r>
        <w:rPr>
          <w:rFonts w:hint="eastAsia" w:ascii="宋体" w:hAnsi="宋体" w:cs="宋体"/>
          <w:b/>
          <w:sz w:val="24"/>
        </w:rPr>
        <w:t>各类电脑信号在大屏上的显示</w:t>
      </w:r>
    </w:p>
    <w:p>
      <w:pPr>
        <w:pStyle w:val="4"/>
        <w:spacing w:line="360" w:lineRule="auto"/>
        <w:ind w:left="0" w:leftChars="0" w:firstLine="540" w:firstLineChars="225"/>
        <w:rPr>
          <w:rFonts w:hint="eastAsia" w:ascii="宋体" w:eastAsia="宋体" w:cs="宋体"/>
          <w:sz w:val="24"/>
        </w:rPr>
      </w:pPr>
      <w:r>
        <w:rPr>
          <w:rFonts w:hint="eastAsia" w:ascii="宋体" w:eastAsia="宋体" w:cs="宋体"/>
          <w:sz w:val="24"/>
          <w:lang w:val="en-US" w:eastAsia="zh-CN"/>
        </w:rPr>
        <w:t>要求</w:t>
      </w:r>
      <w:r>
        <w:rPr>
          <w:rFonts w:hint="eastAsia" w:ascii="宋体" w:eastAsia="宋体" w:cs="宋体"/>
          <w:sz w:val="24"/>
        </w:rPr>
        <w:t>能实现任意大小显示、跨屏显示</w:t>
      </w:r>
      <w:r>
        <w:rPr>
          <w:rFonts w:hint="eastAsia" w:ascii="宋体" w:eastAsia="宋体" w:cs="宋体"/>
          <w:sz w:val="24"/>
          <w:lang w:eastAsia="zh-CN"/>
        </w:rPr>
        <w:t>，</w:t>
      </w:r>
      <w:r>
        <w:rPr>
          <w:rFonts w:hint="eastAsia" w:ascii="宋体" w:eastAsia="宋体" w:cs="宋体"/>
          <w:sz w:val="24"/>
        </w:rPr>
        <w:t>操作员可任意调出某幅画面，在发生故障时调出故障所在画面</w:t>
      </w:r>
      <w:r>
        <w:rPr>
          <w:rFonts w:hint="eastAsia" w:ascii="宋体" w:eastAsia="宋体" w:cs="宋体"/>
          <w:sz w:val="24"/>
          <w:lang w:eastAsia="zh-CN"/>
        </w:rPr>
        <w:t>（</w:t>
      </w:r>
      <w:r>
        <w:rPr>
          <w:rFonts w:hint="eastAsia" w:ascii="宋体" w:eastAsia="宋体" w:cs="宋体"/>
          <w:sz w:val="24"/>
          <w:lang w:val="en-US" w:eastAsia="zh-CN"/>
        </w:rPr>
        <w:t>监测监控系统、人员定位系统在发生超限报警或者在应急演练过程中，为了更够更加直观的查看监测数据，可以将监测监控数据和人员定位数据直分屏分区域投入大屏上。比如：监测监控数据投入左侧一列大屏，人员定位数据投入右侧大屏，视频监测画面保持居中）。</w:t>
      </w:r>
    </w:p>
    <w:p>
      <w:pPr>
        <w:pStyle w:val="7"/>
        <w:keepNext/>
        <w:keepLines/>
        <w:numPr>
          <w:ilvl w:val="0"/>
          <w:numId w:val="1"/>
        </w:numPr>
        <w:spacing w:line="360" w:lineRule="auto"/>
        <w:ind w:left="845" w:firstLineChars="0"/>
        <w:jc w:val="left"/>
        <w:rPr>
          <w:rFonts w:ascii="宋体" w:hAnsi="宋体" w:cs="宋体"/>
          <w:b/>
          <w:sz w:val="24"/>
        </w:rPr>
      </w:pPr>
      <w:r>
        <w:rPr>
          <w:rFonts w:hint="eastAsia" w:ascii="宋体" w:hAnsi="宋体" w:cs="宋体"/>
          <w:b/>
          <w:sz w:val="24"/>
        </w:rPr>
        <w:t>各类视频信号的显示</w:t>
      </w:r>
    </w:p>
    <w:p>
      <w:pPr>
        <w:spacing w:line="360" w:lineRule="auto"/>
        <w:ind w:firstLine="420"/>
        <w:rPr>
          <w:rFonts w:hint="eastAsia" w:ascii="宋体" w:hAnsi="宋体" w:cs="宋体"/>
          <w:sz w:val="24"/>
        </w:rPr>
      </w:pPr>
      <w:r>
        <w:rPr>
          <w:rFonts w:hint="eastAsia" w:ascii="宋体" w:hAnsi="宋体" w:cs="宋体"/>
          <w:sz w:val="24"/>
        </w:rPr>
        <w:t>视频窗口可以实现单屏显示、共屏显示功能，并且可以实现视频图象的分组切换、巡检显示等功能。</w:t>
      </w:r>
    </w:p>
    <w:p>
      <w:pPr>
        <w:pStyle w:val="7"/>
        <w:keepNext/>
        <w:keepLines/>
        <w:numPr>
          <w:ilvl w:val="0"/>
          <w:numId w:val="1"/>
        </w:numPr>
        <w:spacing w:line="360" w:lineRule="auto"/>
        <w:ind w:left="845" w:firstLineChars="0"/>
        <w:jc w:val="left"/>
        <w:rPr>
          <w:rFonts w:ascii="宋体" w:hAnsi="宋体" w:cs="宋体"/>
          <w:b/>
          <w:sz w:val="24"/>
        </w:rPr>
      </w:pPr>
      <w:r>
        <w:rPr>
          <w:rFonts w:hint="eastAsia" w:ascii="宋体" w:hAnsi="宋体" w:cs="宋体"/>
          <w:b/>
          <w:sz w:val="24"/>
        </w:rPr>
        <w:t>系统管理功能</w:t>
      </w:r>
    </w:p>
    <w:p>
      <w:pPr>
        <w:numPr>
          <w:ilvl w:val="0"/>
          <w:numId w:val="2"/>
        </w:numPr>
        <w:spacing w:line="360" w:lineRule="auto"/>
        <w:ind w:left="0" w:firstLine="420"/>
        <w:rPr>
          <w:rFonts w:ascii="宋体" w:hAnsi="宋体" w:cs="宋体"/>
          <w:sz w:val="24"/>
        </w:rPr>
      </w:pPr>
      <w:r>
        <w:rPr>
          <w:rFonts w:hint="eastAsia" w:ascii="宋体" w:hAnsi="宋体" w:cs="宋体"/>
          <w:sz w:val="24"/>
        </w:rPr>
        <w:t>在同一操作界面下实现复合视频信号、计算机视频显示信号的切换、显示、控制功能。</w:t>
      </w:r>
    </w:p>
    <w:p>
      <w:pPr>
        <w:numPr>
          <w:ilvl w:val="0"/>
          <w:numId w:val="2"/>
        </w:numPr>
        <w:spacing w:line="360" w:lineRule="auto"/>
        <w:ind w:left="0" w:firstLine="420"/>
        <w:rPr>
          <w:rFonts w:ascii="宋体" w:hAnsi="宋体" w:cs="宋体"/>
          <w:sz w:val="24"/>
        </w:rPr>
      </w:pPr>
      <w:r>
        <w:rPr>
          <w:rFonts w:hint="eastAsia" w:ascii="宋体" w:hAnsi="宋体" w:cs="宋体"/>
          <w:sz w:val="24"/>
        </w:rPr>
        <w:t>可以将多路视频信号输入中的任意路数以视频窗口的形式在大屏显示墙上显示出来。包括单屏显示、共屏显示等，并且可以实现图象的分组切换、巡检、预案显示等功能。</w:t>
      </w:r>
    </w:p>
    <w:p>
      <w:pPr>
        <w:numPr>
          <w:ilvl w:val="0"/>
          <w:numId w:val="2"/>
        </w:numPr>
        <w:spacing w:line="360" w:lineRule="auto"/>
        <w:ind w:left="0" w:firstLine="420"/>
        <w:rPr>
          <w:rFonts w:ascii="宋体" w:hAnsi="宋体" w:cs="宋体"/>
          <w:sz w:val="24"/>
        </w:rPr>
      </w:pPr>
      <w:r>
        <w:rPr>
          <w:rFonts w:hint="eastAsia" w:ascii="宋体" w:hAnsi="宋体" w:cs="宋体"/>
          <w:sz w:val="24"/>
        </w:rPr>
        <w:t>可以实现多路视频信号的巡检、定时切换、分组切换等功能在简单的中文界面中有一视频预览窗口。视频预览窗口可以上大屏前预览需在大屏上显示的视频图象</w:t>
      </w:r>
      <w:r>
        <w:rPr>
          <w:rFonts w:hint="eastAsia" w:ascii="宋体" w:hAnsi="宋体" w:cs="宋体"/>
          <w:sz w:val="24"/>
          <w:lang w:eastAsia="zh-CN"/>
        </w:rPr>
        <w:t>。</w:t>
      </w:r>
    </w:p>
    <w:p>
      <w:pPr>
        <w:numPr>
          <w:ilvl w:val="0"/>
          <w:numId w:val="2"/>
        </w:numPr>
        <w:spacing w:line="360" w:lineRule="auto"/>
        <w:ind w:left="0" w:firstLine="420"/>
        <w:rPr>
          <w:rFonts w:ascii="宋体" w:hAnsi="宋体" w:cs="宋体"/>
          <w:sz w:val="24"/>
        </w:rPr>
      </w:pPr>
      <w:r>
        <w:rPr>
          <w:rFonts w:hint="eastAsia" w:ascii="宋体" w:hAnsi="宋体" w:cs="宋体"/>
          <w:sz w:val="24"/>
          <w:lang w:val="en-US" w:eastAsia="zh-CN"/>
        </w:rPr>
        <w:t>要求有</w:t>
      </w:r>
      <w:r>
        <w:rPr>
          <w:rFonts w:hint="eastAsia" w:ascii="宋体" w:hAnsi="宋体" w:cs="宋体"/>
          <w:sz w:val="24"/>
        </w:rPr>
        <w:t>预案设置、调用功能</w:t>
      </w:r>
      <w:r>
        <w:rPr>
          <w:rFonts w:hint="eastAsia" w:ascii="宋体" w:hAnsi="宋体" w:cs="宋体"/>
          <w:sz w:val="24"/>
          <w:lang w:eastAsia="zh-CN"/>
        </w:rPr>
        <w:t>，</w:t>
      </w:r>
      <w:r>
        <w:rPr>
          <w:rFonts w:hint="eastAsia" w:ascii="宋体" w:hAnsi="宋体" w:cs="宋体"/>
          <w:sz w:val="24"/>
        </w:rPr>
        <w:t>无论是视频信号、还是计算机信号，都可以预先设置、存储、调用显示预案，所有工作都在同一个图形控制界面下完成。所有信号种类、通道、制式、显示位置、显示大小等都可以被设成一个预案，下次需要这个组合显示时，清点对应的预案名，对在虚拟大屏窗口弹出来的虚拟显示确认后，可在大屏上“复原”该组合显示。</w:t>
      </w:r>
    </w:p>
    <w:p>
      <w:pPr>
        <w:numPr>
          <w:ilvl w:val="0"/>
          <w:numId w:val="2"/>
        </w:numPr>
        <w:spacing w:line="360" w:lineRule="auto"/>
        <w:ind w:left="0" w:firstLine="420"/>
        <w:rPr>
          <w:rFonts w:ascii="宋体" w:hAnsi="宋体" w:cs="宋体"/>
          <w:sz w:val="24"/>
        </w:rPr>
      </w:pPr>
      <w:r>
        <w:rPr>
          <w:rFonts w:hint="eastAsia" w:ascii="宋体" w:hAnsi="宋体" w:cs="宋体"/>
          <w:sz w:val="24"/>
        </w:rPr>
        <w:t>大屏的电源开关管理。</w:t>
      </w:r>
    </w:p>
    <w:p>
      <w:pPr>
        <w:numPr>
          <w:ilvl w:val="0"/>
          <w:numId w:val="2"/>
        </w:numPr>
        <w:spacing w:line="360" w:lineRule="auto"/>
        <w:ind w:left="0" w:firstLine="420"/>
        <w:rPr>
          <w:rFonts w:ascii="宋体" w:hAnsi="宋体" w:cs="宋体"/>
          <w:sz w:val="24"/>
        </w:rPr>
      </w:pPr>
      <w:r>
        <w:rPr>
          <w:rFonts w:hint="eastAsia" w:ascii="宋体" w:hAnsi="宋体" w:cs="宋体"/>
          <w:sz w:val="24"/>
        </w:rPr>
        <w:t>图形控制器信道管理。</w:t>
      </w:r>
    </w:p>
    <w:p>
      <w:pPr>
        <w:numPr>
          <w:ilvl w:val="0"/>
          <w:numId w:val="2"/>
        </w:numPr>
        <w:spacing w:line="360" w:lineRule="auto"/>
        <w:ind w:left="0" w:firstLine="420"/>
        <w:rPr>
          <w:rFonts w:ascii="宋体" w:hAnsi="宋体" w:cs="宋体"/>
          <w:sz w:val="24"/>
        </w:rPr>
      </w:pPr>
      <w:r>
        <w:rPr>
          <w:rFonts w:hint="eastAsia" w:ascii="宋体" w:hAnsi="宋体" w:cs="宋体"/>
          <w:sz w:val="24"/>
        </w:rPr>
        <w:t>视频矩阵的管理，包括视频图像调用、切换、摄像机云台和镜头控制管理。</w:t>
      </w:r>
    </w:p>
    <w:p>
      <w:pPr>
        <w:pStyle w:val="2"/>
        <w:rPr>
          <w:rFonts w:hint="eastAsia"/>
          <w:lang w:val="en-US" w:eastAsia="zh-CN"/>
        </w:rPr>
      </w:pPr>
      <w:r>
        <w:rPr>
          <w:rFonts w:hint="eastAsia"/>
          <w:lang w:eastAsia="zh-CN"/>
        </w:rPr>
        <w:t>屏幕拼接缝最小为</w:t>
      </w:r>
      <w:r>
        <w:rPr>
          <w:rFonts w:hint="eastAsia"/>
          <w:lang w:val="en-US" w:eastAsia="zh-CN"/>
        </w:rPr>
        <w:t>1.8</w:t>
      </w:r>
      <w:bookmarkStart w:id="0" w:name="_GoBack"/>
      <w:bookmarkEnd w:id="0"/>
      <w:r>
        <w:rPr>
          <w:rFonts w:hint="eastAsia"/>
          <w:lang w:val="en-US" w:eastAsia="zh-CN"/>
        </w:rPr>
        <w:t>mm（三星与LG）</w:t>
      </w:r>
    </w:p>
    <w:p>
      <w:pPr>
        <w:pStyle w:val="2"/>
        <w:rPr>
          <w:rFonts w:hint="eastAsia"/>
          <w:b w:val="0"/>
          <w:bCs w:val="0"/>
          <w:lang w:val="en-US" w:eastAsia="zh-CN"/>
        </w:rPr>
      </w:pPr>
      <w:r>
        <w:rPr>
          <w:rFonts w:hint="default"/>
          <w:lang w:val="en-US" w:eastAsia="zh-CN"/>
        </w:rPr>
        <w:drawing>
          <wp:anchor distT="0" distB="0" distL="114300" distR="114300" simplePos="0" relativeHeight="251659264" behindDoc="0" locked="0" layoutInCell="1" allowOverlap="1">
            <wp:simplePos x="0" y="0"/>
            <wp:positionH relativeFrom="column">
              <wp:posOffset>-747395</wp:posOffset>
            </wp:positionH>
            <wp:positionV relativeFrom="paragraph">
              <wp:posOffset>667385</wp:posOffset>
            </wp:positionV>
            <wp:extent cx="6925945" cy="5899785"/>
            <wp:effectExtent l="0" t="0" r="8255" b="5715"/>
            <wp:wrapSquare wrapText="bothSides"/>
            <wp:docPr id="1" name="图片 1" descr="16389219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38921975(1)"/>
                    <pic:cNvPicPr>
                      <a:picLocks noChangeAspect="1"/>
                    </pic:cNvPicPr>
                  </pic:nvPicPr>
                  <pic:blipFill>
                    <a:blip r:embed="rId4"/>
                    <a:stretch>
                      <a:fillRect/>
                    </a:stretch>
                  </pic:blipFill>
                  <pic:spPr>
                    <a:xfrm>
                      <a:off x="0" y="0"/>
                      <a:ext cx="6925945" cy="5899785"/>
                    </a:xfrm>
                    <a:prstGeom prst="rect">
                      <a:avLst/>
                    </a:prstGeom>
                  </pic:spPr>
                </pic:pic>
              </a:graphicData>
            </a:graphic>
          </wp:anchor>
        </w:drawing>
      </w:r>
      <w:r>
        <w:rPr>
          <w:rFonts w:hint="eastAsia"/>
          <w:b w:val="0"/>
          <w:bCs w:val="0"/>
          <w:lang w:val="en-US" w:eastAsia="zh-CN"/>
        </w:rPr>
        <w:t>附调度室监测视频大屏设计效果图：</w:t>
      </w:r>
    </w:p>
    <w:p>
      <w:pPr>
        <w:pStyle w:val="3"/>
        <w:rPr>
          <w:rFonts w:hint="eastAsia"/>
          <w:lang w:val="en-US" w:eastAsia="zh-CN"/>
        </w:rPr>
      </w:pPr>
    </w:p>
    <w:p>
      <w:pPr>
        <w:pStyle w:val="3"/>
        <w:rPr>
          <w:rFonts w:hint="eastAsia"/>
          <w:lang w:val="en-US" w:eastAsia="zh-CN"/>
        </w:rPr>
      </w:pPr>
      <w:r>
        <w:rPr>
          <w:rFonts w:hint="eastAsia"/>
          <w:lang w:val="en-US" w:eastAsia="zh-CN"/>
        </w:rPr>
        <w:t xml:space="preserve">                        内蒙古友恒煤炭有限责任公司</w:t>
      </w:r>
    </w:p>
    <w:p>
      <w:pPr>
        <w:pStyle w:val="3"/>
        <w:rPr>
          <w:rFonts w:hint="eastAsia"/>
          <w:lang w:val="en-US" w:eastAsia="zh-CN"/>
        </w:rPr>
      </w:pPr>
    </w:p>
    <w:p>
      <w:pPr>
        <w:pStyle w:val="3"/>
        <w:rPr>
          <w:rFonts w:hint="default"/>
          <w:lang w:val="en-US" w:eastAsia="zh-CN"/>
        </w:rPr>
      </w:pPr>
      <w:r>
        <w:rPr>
          <w:rFonts w:hint="eastAsia"/>
          <w:lang w:val="en-US" w:eastAsia="zh-CN"/>
        </w:rPr>
        <w:t xml:space="preserve">                                2021年12月8日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1FBE69"/>
    <w:multiLevelType w:val="singleLevel"/>
    <w:tmpl w:val="F81FBE69"/>
    <w:lvl w:ilvl="0" w:tentative="0">
      <w:start w:val="1"/>
      <w:numFmt w:val="decimal"/>
      <w:lvlText w:val="(%1)"/>
      <w:lvlJc w:val="left"/>
      <w:pPr>
        <w:ind w:left="425" w:hanging="425"/>
      </w:pPr>
      <w:rPr>
        <w:rFonts w:hint="default"/>
      </w:rPr>
    </w:lvl>
  </w:abstractNum>
  <w:abstractNum w:abstractNumId="1">
    <w:nsid w:val="FCBAD8DB"/>
    <w:multiLevelType w:val="singleLevel"/>
    <w:tmpl w:val="FCBAD8DB"/>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001FF9"/>
    <w:rsid w:val="0CFA5450"/>
    <w:rsid w:val="106D587C"/>
    <w:rsid w:val="182B0E30"/>
    <w:rsid w:val="44BC18A5"/>
    <w:rsid w:val="51D25906"/>
    <w:rsid w:val="66B72E19"/>
    <w:rsid w:val="6B001F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3"/>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rFonts w:ascii="宋体"/>
      <w:sz w:val="24"/>
      <w:szCs w:val="20"/>
    </w:rPr>
  </w:style>
  <w:style w:type="paragraph" w:styleId="4">
    <w:name w:val="Body Text Indent 2"/>
    <w:basedOn w:val="1"/>
    <w:qFormat/>
    <w:uiPriority w:val="0"/>
    <w:pPr>
      <w:spacing w:before="156" w:line="520" w:lineRule="exact"/>
      <w:ind w:left="360" w:leftChars="150" w:firstLine="560" w:firstLineChars="200"/>
    </w:pPr>
    <w:rPr>
      <w:rFonts w:ascii="仿宋_GB2312" w:hAnsi="宋体" w:eastAsia="仿宋_GB2312"/>
      <w:sz w:val="2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2021-12-07T23:50:00Z</dcterms:created>
  <dc:creator>哥、不靠谱@_@</dc:creator>
  <cp:lastModifiedBy>我們不壹樣的默契</cp:lastModifiedBy>
  <cp:lastPrinted>2021-12-08T07:09:00Z</cp:lastPrinted>
  <dcterms:modified xsi:type="dcterms:W3CDTF">2021-12-09T01:54:34Z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9F32B311556A4D748EB36093BEB385D7</vt:lpwstr>
  </property>
</Properties>
</file>