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1" w:firstLineChars="500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东博煤矿三水平排水设备主要技术参数说明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简要概况：东博煤矿矿井三水平面正常涌水量360m</w:t>
      </w:r>
      <w:r>
        <w:rPr>
          <w:rFonts w:hint="eastAsia" w:ascii="微软雅黑" w:hAnsi="微软雅黑" w:eastAsia="微软雅黑" w:cs="微软雅黑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>/h,最大涌水量为700m</w:t>
      </w:r>
      <w:r>
        <w:rPr>
          <w:rFonts w:hint="eastAsia" w:ascii="微软雅黑" w:hAnsi="微软雅黑" w:eastAsia="微软雅黑" w:cs="微软雅黑"/>
          <w:sz w:val="28"/>
          <w:szCs w:val="28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>/h。设计在三水平面泵房新增安装排水设备，水泵房至地面污水厂最低点和最高点的垂直高度190m,距离约1250m。按设计要求，选用矿用耐磨卧式多级离心泵系列排水泵三套，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正常涌水时排水泵1台工作，1台备用，1台检修；最大涌水量时2台工作，1台备用。排水管选用φ325×10mm型无缝钢管，吸水管选用φ377×10mm型无缝钢管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，无底阀运行，采用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ZPBZ型气、水两用型射流泵自动引水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。水泵投入运行后实现自动化控制。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排水设备水泵技术参数：购买水泵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选用MD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S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500-57×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或具备同参数类型的矿用耐磨卧式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多级离心水泵3台，额定流量为500m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vertAlign w:val="superscript"/>
        </w:rPr>
        <w:t>3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/h，额定扬程为2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85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m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、允许吸上真空高度必须大于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5m(当地大气压在9.33m水柱高度左右）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；配用YB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vertAlign w:val="subscript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450-4型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高效节能隔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爆电机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三台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，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额定电压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10KV，额定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功率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630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</w:rPr>
        <w:t>kW，转速1480r/min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eastAsia="zh-CN"/>
        </w:rPr>
        <w:t>；</w:t>
      </w:r>
      <w:r>
        <w:rPr>
          <w:rFonts w:hint="eastAsia" w:ascii="微软雅黑" w:hAnsi="微软雅黑" w:eastAsia="微软雅黑" w:cs="微软雅黑"/>
          <w:snapToGrid w:val="0"/>
          <w:kern w:val="0"/>
          <w:sz w:val="28"/>
          <w:szCs w:val="28"/>
          <w:lang w:val="en-US" w:eastAsia="zh-CN"/>
        </w:rPr>
        <w:t>ZPBZ型气、水两用喷射泵三套。具体参数见附表：</w:t>
      </w:r>
    </w:p>
    <w:p>
      <w:pPr>
        <w:pStyle w:val="2"/>
        <w:spacing w:line="440" w:lineRule="exact"/>
        <w:ind w:left="0" w:leftChars="0" w:firstLine="2409" w:firstLineChars="100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附表一：</w:t>
      </w:r>
      <w:r>
        <w:rPr>
          <w:rFonts w:hint="eastAsia" w:ascii="宋体" w:hAnsi="宋体"/>
          <w:b/>
          <w:bCs/>
          <w:sz w:val="24"/>
        </w:rPr>
        <w:t>水泵</w:t>
      </w:r>
      <w:r>
        <w:rPr>
          <w:rFonts w:hint="eastAsia" w:ascii="宋体" w:hAnsi="宋体"/>
          <w:b/>
          <w:bCs/>
          <w:sz w:val="24"/>
          <w:lang w:eastAsia="zh-CN"/>
        </w:rPr>
        <w:t>主要</w:t>
      </w:r>
      <w:r>
        <w:rPr>
          <w:rFonts w:hint="eastAsia" w:ascii="宋体" w:hAnsi="宋体"/>
          <w:b/>
          <w:bCs/>
          <w:sz w:val="24"/>
        </w:rPr>
        <w:t>性能参数</w:t>
      </w:r>
    </w:p>
    <w:tbl>
      <w:tblPr>
        <w:tblStyle w:val="3"/>
        <w:tblW w:w="8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2835"/>
        <w:gridCol w:w="4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序号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水泵性能</w:t>
            </w:r>
          </w:p>
        </w:tc>
        <w:tc>
          <w:tcPr>
            <w:tcW w:w="42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数值或描述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型号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</w:rPr>
              <w:t>MD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S</w:t>
            </w:r>
            <w:r>
              <w:rPr>
                <w:rFonts w:hint="eastAsia" w:ascii="宋体" w:hAnsi="宋体"/>
                <w:sz w:val="24"/>
              </w:rPr>
              <w:t>500-57*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5(为例）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名称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矿用耐磨</w:t>
            </w:r>
            <w:r>
              <w:rPr>
                <w:rFonts w:hint="eastAsia" w:ascii="宋体" w:hAnsi="宋体"/>
                <w:sz w:val="24"/>
              </w:rPr>
              <w:t>卧式多级离心泵</w:t>
            </w:r>
            <w:r>
              <w:rPr>
                <w:rFonts w:hint="eastAsia" w:ascii="宋体" w:hAnsi="宋体"/>
                <w:sz w:val="24"/>
                <w:lang w:eastAsia="zh-CN"/>
              </w:rPr>
              <w:t>（双吸泵）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数量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额定流量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500m³/h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额定扬程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285</w:t>
            </w:r>
            <w:r>
              <w:rPr>
                <w:rFonts w:hint="eastAsia" w:ascii="宋体" w:hAnsi="宋体"/>
                <w:sz w:val="24"/>
                <w:lang w:bidi="he-IL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水泵吸上真空高度必须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＞</w:t>
            </w:r>
            <w:r>
              <w:rPr>
                <w:rFonts w:hint="eastAsia" w:ascii="宋体" w:hAnsi="宋体"/>
                <w:sz w:val="24"/>
                <w:lang w:val="en-US" w:eastAsia="zh-CN" w:bidi="he-IL"/>
              </w:rPr>
              <w:t>5m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额定效率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≥80%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额定转速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1480r/min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进水段、出水段、中段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QT500-7</w:t>
            </w:r>
            <w:r>
              <w:rPr>
                <w:rFonts w:hint="eastAsia" w:ascii="宋体" w:hAnsi="宋体"/>
                <w:sz w:val="24"/>
                <w:lang w:eastAsia="zh-CN" w:bidi="he-IL"/>
              </w:rPr>
              <w:t>（球墨铸铁）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首级叶轮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2Cr13马氏体不锈钢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其他叶轮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QT500-7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导叶类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QT500-7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主轴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40Cr</w:t>
            </w:r>
            <w:r>
              <w:rPr>
                <w:rFonts w:hint="eastAsia" w:ascii="宋体" w:hAnsi="宋体"/>
                <w:sz w:val="24"/>
                <w:lang w:eastAsia="zh-CN" w:bidi="he-IL"/>
              </w:rPr>
              <w:t>（合金结构钢）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平衡盘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2cr13</w:t>
            </w:r>
          </w:p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tabs>
                <w:tab w:val="center" w:pos="1309"/>
              </w:tabs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平衡环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3cr13</w:t>
            </w:r>
          </w:p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轴封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填料密封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填料轴套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42CrMo</w:t>
            </w:r>
            <w:r>
              <w:rPr>
                <w:rFonts w:hint="eastAsia" w:ascii="宋体" w:hAnsi="宋体"/>
                <w:sz w:val="24"/>
                <w:lang w:eastAsia="zh-CN" w:bidi="he-IL"/>
              </w:rPr>
              <w:t>（高强度合金钢）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轴承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SKF进口轴承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ZPB-Z型喷射总成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3套（含阀门、真空表、管道及管件）</w:t>
            </w:r>
          </w:p>
        </w:tc>
      </w:tr>
    </w:tbl>
    <w:p>
      <w:pPr>
        <w:pStyle w:val="2"/>
        <w:spacing w:line="440" w:lineRule="exact"/>
        <w:ind w:left="0" w:leftChars="0" w:firstLine="2409" w:firstLineChars="100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/>
          <w:b/>
          <w:bCs/>
          <w:sz w:val="24"/>
          <w:lang w:eastAsia="zh-CN"/>
        </w:rPr>
        <w:t>附表二：电动机主要</w:t>
      </w:r>
      <w:r>
        <w:rPr>
          <w:rFonts w:hint="eastAsia" w:ascii="宋体" w:hAnsi="宋体"/>
          <w:b/>
          <w:bCs/>
          <w:sz w:val="24"/>
        </w:rPr>
        <w:t>性能参数</w:t>
      </w:r>
    </w:p>
    <w:tbl>
      <w:tblPr>
        <w:tblStyle w:val="3"/>
        <w:tblW w:w="8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2835"/>
        <w:gridCol w:w="4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序号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电动机</w:t>
            </w:r>
            <w:r>
              <w:rPr>
                <w:rFonts w:hint="eastAsia" w:ascii="宋体" w:hAnsi="宋体"/>
                <w:sz w:val="24"/>
                <w:lang w:bidi="he-IL"/>
              </w:rPr>
              <w:t>性能</w:t>
            </w:r>
          </w:p>
        </w:tc>
        <w:tc>
          <w:tcPr>
            <w:tcW w:w="42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数值或描述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1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名称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矿用隔爆型高压三相异步电动机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2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型号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YB3-450-4（ 南阳卧龙、西北骏马、抚顺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3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数量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4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</w:t>
            </w:r>
            <w:r>
              <w:rPr>
                <w:rFonts w:hint="eastAsia" w:ascii="宋体" w:hAnsi="宋体"/>
                <w:sz w:val="24"/>
                <w:lang w:eastAsia="zh-CN" w:bidi="he-IL"/>
              </w:rPr>
              <w:t>功率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630KW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5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</w:t>
            </w:r>
            <w:r>
              <w:rPr>
                <w:rFonts w:hint="eastAsia" w:ascii="宋体" w:hAnsi="宋体"/>
                <w:sz w:val="24"/>
                <w:lang w:eastAsia="zh-CN" w:bidi="he-IL"/>
              </w:rPr>
              <w:t>电压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10KV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6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额定频率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7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额定转速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  <w:r>
              <w:rPr>
                <w:rFonts w:hint="eastAsia" w:ascii="宋体" w:hAnsi="宋体"/>
                <w:sz w:val="24"/>
                <w:lang w:bidi="he-IL"/>
              </w:rPr>
              <w:t>1480r/min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8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防护等级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IP55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913"/>
              </w:tabs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9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耐热绝缘等级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F级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10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防爆等级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EXdlMb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288" w:leftChars="0"/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11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冷却方式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IC411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12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安装方式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IMB3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   13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工作制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连续工作制（</w:t>
            </w:r>
            <w:r>
              <w:rPr>
                <w:rFonts w:hint="eastAsia" w:ascii="宋体" w:hAnsi="宋体"/>
                <w:sz w:val="24"/>
                <w:lang w:val="en-US" w:eastAsia="zh-CN" w:bidi="he-IL"/>
              </w:rPr>
              <w:t>S1）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   14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定子线圈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铜绕组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   15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转子绕组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铜导条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ind w:firstLine="223" w:firstLineChars="0"/>
              <w:jc w:val="both"/>
              <w:rPr>
                <w:rFonts w:hint="default" w:ascii="宋体" w:hAnsi="宋体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 16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轴承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>SKF进口轴承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13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Theme="minorEastAsia"/>
                <w:sz w:val="24"/>
                <w:lang w:val="en-US" w:eastAsia="zh-CN" w:bidi="he-IL"/>
              </w:rPr>
            </w:pPr>
            <w:r>
              <w:rPr>
                <w:rFonts w:hint="eastAsia" w:ascii="宋体" w:hAnsi="宋体"/>
                <w:sz w:val="24"/>
                <w:lang w:val="en-US" w:eastAsia="zh-CN" w:bidi="he-IL"/>
              </w:rPr>
              <w:t xml:space="preserve">     17</w:t>
            </w:r>
          </w:p>
        </w:tc>
        <w:tc>
          <w:tcPr>
            <w:tcW w:w="283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 w:bidi="he-IL"/>
              </w:rPr>
            </w:pPr>
            <w:r>
              <w:rPr>
                <w:rFonts w:hint="eastAsia" w:ascii="宋体" w:hAnsi="宋体"/>
                <w:sz w:val="24"/>
                <w:lang w:eastAsia="zh-CN" w:bidi="he-IL"/>
              </w:rPr>
              <w:t>能效等级</w:t>
            </w:r>
          </w:p>
        </w:tc>
        <w:tc>
          <w:tcPr>
            <w:tcW w:w="42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eastAsia" w:ascii="宋体" w:hAnsi="宋体"/>
                <w:sz w:val="24"/>
                <w:lang w:bidi="he-IL"/>
              </w:rPr>
            </w:pPr>
          </w:p>
        </w:tc>
      </w:tr>
    </w:tbl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>排水设备水泵和电机技术要求</w:t>
      </w:r>
    </w:p>
    <w:p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>（一）水泵技术要求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8"/>
          <w:szCs w:val="28"/>
        </w:rPr>
        <w:t>水泵型式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为矿用</w:t>
      </w:r>
      <w:r>
        <w:rPr>
          <w:rFonts w:hint="eastAsia" w:ascii="微软雅黑" w:hAnsi="微软雅黑" w:eastAsia="微软雅黑" w:cs="微软雅黑"/>
          <w:sz w:val="28"/>
          <w:szCs w:val="28"/>
        </w:rPr>
        <w:t>耐磨卧式多级离心泵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系列</w:t>
      </w:r>
      <w:r>
        <w:rPr>
          <w:rFonts w:hint="eastAsia" w:ascii="微软雅黑" w:hAnsi="微软雅黑" w:eastAsia="微软雅黑" w:cs="微软雅黑"/>
          <w:sz w:val="28"/>
          <w:szCs w:val="28"/>
        </w:rPr>
        <w:t>，泵转子部件采用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SKF进口（轴承运行寿命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≥10万h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8"/>
          <w:szCs w:val="28"/>
        </w:rPr>
        <w:t>滚动轴承支撑，泵转子部分主要由轴及安装在轴上的叶轮、轴套、等零件组成。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泵体轴承室无冷却水运行。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水泵流道通过能力强，且能减少易磨损件及其磨损带来的更换及维修</w:t>
      </w:r>
      <w:r>
        <w:rPr>
          <w:rFonts w:hint="eastAsia" w:ascii="微软雅黑" w:hAnsi="微软雅黑" w:eastAsia="微软雅黑" w:cs="微软雅黑"/>
          <w:sz w:val="28"/>
          <w:szCs w:val="28"/>
        </w:rPr>
        <w:t>。</w:t>
      </w:r>
    </w:p>
    <w:p>
      <w:pPr>
        <w:pStyle w:val="2"/>
        <w:spacing w:line="440" w:lineRule="exact"/>
        <w:ind w:left="0" w:leftChars="0" w:firstLine="560" w:firstLineChars="200"/>
        <w:rPr>
          <w:rFonts w:hint="eastAsia" w:ascii="宋体" w:hAnsi="宋体"/>
          <w:sz w:val="24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8"/>
          <w:szCs w:val="28"/>
        </w:rPr>
        <w:t>水泵运行无轴向窜动，叶轮出口与流道始终保持对中</w:t>
      </w: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，保证</w:t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eastAsia="zh-CN"/>
        </w:rPr>
        <w:t>水</w:t>
      </w:r>
      <w:r>
        <w:rPr>
          <w:rFonts w:hint="eastAsia" w:ascii="微软雅黑" w:hAnsi="微软雅黑" w:eastAsia="微软雅黑" w:cs="微软雅黑"/>
          <w:kern w:val="0"/>
          <w:sz w:val="28"/>
          <w:szCs w:val="28"/>
        </w:rPr>
        <w:t>泵长期稳定高效率运行。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sz w:val="28"/>
          <w:szCs w:val="28"/>
        </w:rPr>
        <w:t>水泵与电动机采用直联传动，电机及联轴器联接接口尺寸和参数由水泵生产厂家与电机生产厂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家</w:t>
      </w:r>
      <w:r>
        <w:rPr>
          <w:rFonts w:hint="eastAsia" w:ascii="微软雅黑" w:hAnsi="微软雅黑" w:eastAsia="微软雅黑" w:cs="微软雅黑"/>
          <w:sz w:val="28"/>
          <w:szCs w:val="28"/>
        </w:rPr>
        <w:t>双方协调。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8"/>
          <w:szCs w:val="28"/>
        </w:rPr>
        <w:t>泵组配套附件：成套提供水泵及电机整体底座，联轴器，防护罩、地脚螺栓及相关螺母垫片等紧固件。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sz w:val="28"/>
          <w:szCs w:val="28"/>
        </w:rPr>
        <w:t>旋转方向：从驱动机端向泵看，泵为顺时针方向旋转，进水口水平、出水口垂直。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sz w:val="28"/>
          <w:szCs w:val="28"/>
        </w:rPr>
        <w:t>水泵无空洞、凹陷、裂纹等缺陷，流道表面尽量保证光滑，减少流道的水力损失。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8、</w:t>
      </w:r>
      <w:r>
        <w:rPr>
          <w:rFonts w:hint="eastAsia" w:ascii="微软雅黑" w:hAnsi="微软雅黑" w:eastAsia="微软雅黑" w:cs="微软雅黑"/>
          <w:sz w:val="28"/>
          <w:szCs w:val="28"/>
        </w:rPr>
        <w:t>叶轮加工完成后，进行静平衡和动平衡试验。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9、</w:t>
      </w:r>
      <w:r>
        <w:rPr>
          <w:rFonts w:hint="eastAsia" w:ascii="微软雅黑" w:hAnsi="微软雅黑" w:eastAsia="微软雅黑" w:cs="微软雅黑"/>
          <w:sz w:val="28"/>
          <w:szCs w:val="28"/>
        </w:rPr>
        <w:t>水泵高效区应宽广、平坦，水泵应为高效节能产品。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10、</w:t>
      </w:r>
      <w:r>
        <w:rPr>
          <w:rFonts w:hint="eastAsia" w:ascii="微软雅黑" w:hAnsi="微软雅黑" w:eastAsia="微软雅黑" w:cs="微软雅黑"/>
          <w:sz w:val="28"/>
          <w:szCs w:val="28"/>
        </w:rPr>
        <w:t>水泵在可能的反转运转时叶轮不得松扣。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11、</w:t>
      </w:r>
      <w:r>
        <w:rPr>
          <w:rFonts w:hint="eastAsia" w:ascii="微软雅黑" w:hAnsi="微软雅黑" w:eastAsia="微软雅黑" w:cs="微软雅黑"/>
          <w:sz w:val="28"/>
          <w:szCs w:val="28"/>
        </w:rPr>
        <w:t>水泵预留测温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（前后轴承，泵体）</w:t>
      </w:r>
      <w:r>
        <w:rPr>
          <w:rFonts w:hint="eastAsia" w:ascii="微软雅黑" w:hAnsi="微软雅黑" w:eastAsia="微软雅黑" w:cs="微软雅黑"/>
          <w:sz w:val="28"/>
          <w:szCs w:val="28"/>
        </w:rPr>
        <w:t>、测振接口，以便接入自动化。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12、</w:t>
      </w:r>
      <w:r>
        <w:rPr>
          <w:rFonts w:hint="eastAsia" w:ascii="微软雅黑" w:hAnsi="微软雅黑" w:eastAsia="微软雅黑" w:cs="微软雅黑"/>
          <w:sz w:val="28"/>
          <w:szCs w:val="28"/>
        </w:rPr>
        <w:t>水泵必须具有煤安证，且在有效期内。</w:t>
      </w:r>
    </w:p>
    <w:p>
      <w:pPr>
        <w:pStyle w:val="2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13、</w:t>
      </w:r>
      <w:r>
        <w:rPr>
          <w:rFonts w:hint="eastAsia" w:ascii="微软雅黑" w:hAnsi="微软雅黑" w:eastAsia="微软雅黑" w:cs="微软雅黑"/>
          <w:sz w:val="28"/>
          <w:szCs w:val="28"/>
        </w:rPr>
        <w:t>在明显位置设耐腐蚀材料制作的产品金属铭牌及转向标志，铭牌至少包括以下内容：水泵和电动机名称及型号、主要技术性能参数、制造厂名称、产品制造编号和出厂日期等。</w:t>
      </w:r>
    </w:p>
    <w:p>
      <w:pPr>
        <w:pStyle w:val="2"/>
        <w:spacing w:line="440" w:lineRule="exact"/>
        <w:ind w:left="0" w:leftChars="0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（二）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电机技术要求</w:t>
      </w:r>
    </w:p>
    <w:p>
      <w:pPr>
        <w:pStyle w:val="5"/>
        <w:spacing w:line="440" w:lineRule="exact"/>
        <w:ind w:left="0" w:leftChars="0" w:firstLine="501" w:firstLineChars="179"/>
        <w:rPr>
          <w:rStyle w:val="6"/>
          <w:rFonts w:hint="eastAsia" w:ascii="微软雅黑" w:hAnsi="微软雅黑" w:eastAsia="微软雅黑" w:cs="微软雅黑"/>
          <w:sz w:val="28"/>
          <w:szCs w:val="28"/>
        </w:rPr>
      </w:pPr>
      <w:r>
        <w:rPr>
          <w:rStyle w:val="6"/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电机的规格型号、电压等级、额定电流、功率、功率因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  <w:lang w:eastAsia="zh-CN"/>
        </w:rPr>
        <w:t>数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  <w:lang w:eastAsia="zh-CN"/>
        </w:rPr>
        <w:t>频率、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转速等各项技术参数必须达到国家标准设计要求。</w:t>
      </w:r>
    </w:p>
    <w:p>
      <w:pPr>
        <w:pStyle w:val="5"/>
        <w:spacing w:line="440" w:lineRule="exact"/>
        <w:ind w:left="0" w:leftChars="0" w:firstLine="501" w:firstLineChars="179"/>
        <w:rPr>
          <w:rStyle w:val="6"/>
          <w:rFonts w:hint="eastAsia" w:ascii="微软雅黑" w:hAnsi="微软雅黑" w:eastAsia="微软雅黑" w:cs="微软雅黑"/>
          <w:sz w:val="28"/>
          <w:szCs w:val="28"/>
        </w:rPr>
      </w:pPr>
      <w:r>
        <w:rPr>
          <w:rStyle w:val="6"/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电动机容量富余系数应不少于1.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  <w:lang w:val="en-US" w:eastAsia="zh-CN"/>
        </w:rPr>
        <w:t>3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，电动机应能承受额定转数1.2倍的反转转速，历时2分钟而无有害变形；电动机必须能在电网额定电压(10kV)的85％～115％下可靠启动。</w:t>
      </w:r>
    </w:p>
    <w:p>
      <w:pPr>
        <w:pStyle w:val="5"/>
        <w:spacing w:line="440" w:lineRule="exact"/>
        <w:ind w:left="0" w:leftChars="0" w:firstLine="501" w:firstLineChars="179"/>
        <w:rPr>
          <w:rStyle w:val="6"/>
          <w:rFonts w:hint="eastAsia" w:ascii="微软雅黑" w:hAnsi="微软雅黑" w:eastAsia="微软雅黑" w:cs="微软雅黑"/>
          <w:sz w:val="28"/>
          <w:szCs w:val="28"/>
        </w:rPr>
      </w:pPr>
      <w:r>
        <w:rPr>
          <w:rStyle w:val="6"/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电机两端轴承选用SKF进口轴承，轴承运转寿命≥10万h。</w:t>
      </w:r>
    </w:p>
    <w:p>
      <w:pPr>
        <w:pStyle w:val="5"/>
        <w:spacing w:line="440" w:lineRule="exact"/>
        <w:ind w:left="0" w:leftChars="0" w:firstLine="501" w:firstLineChars="179"/>
        <w:rPr>
          <w:rStyle w:val="6"/>
          <w:rFonts w:hint="eastAsia" w:ascii="微软雅黑" w:hAnsi="微软雅黑" w:eastAsia="微软雅黑" w:cs="微软雅黑"/>
          <w:b/>
          <w:color w:val="FF0000"/>
          <w:sz w:val="28"/>
          <w:szCs w:val="28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sz w:val="28"/>
          <w:szCs w:val="28"/>
          <w:lang w:val="en-US" w:eastAsia="zh-CN"/>
        </w:rPr>
        <w:t>4、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电机设置连续注油装置，采用油脂自润滑，设置连续Pt100铂测温及轴承振动传感器，便于接入自动化系统；要求电机定子三相绕组预埋Pt100测温电阻各2只，共6只，电机前、后轴承预埋Pt100测温电阻各1只，共2只。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  <w:lang w:eastAsia="zh-CN"/>
        </w:rPr>
        <w:t>同时具有自动防潮加热装置，电压与自动化系统对接待定。</w:t>
      </w:r>
    </w:p>
    <w:p>
      <w:pPr>
        <w:pStyle w:val="5"/>
        <w:spacing w:line="440" w:lineRule="exact"/>
        <w:ind w:left="0" w:leftChars="0" w:firstLine="501" w:firstLineChars="179"/>
        <w:rPr>
          <w:rStyle w:val="6"/>
          <w:rFonts w:ascii="宋体" w:hAnsi="宋体"/>
          <w:sz w:val="24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8"/>
          <w:szCs w:val="28"/>
        </w:rPr>
        <w:t>电机与水泵底座为型钢焊接整体底座；水泵、电机及底座出厂前须进行配对装配。</w:t>
      </w:r>
    </w:p>
    <w:p>
      <w:pPr>
        <w:pStyle w:val="5"/>
        <w:spacing w:line="440" w:lineRule="exact"/>
        <w:ind w:left="0" w:leftChars="0" w:firstLine="501" w:firstLineChars="179"/>
        <w:rPr>
          <w:rStyle w:val="6"/>
          <w:rFonts w:hint="eastAsia" w:ascii="微软雅黑" w:hAnsi="微软雅黑" w:eastAsia="微软雅黑" w:cs="微软雅黑"/>
          <w:sz w:val="28"/>
          <w:szCs w:val="28"/>
        </w:rPr>
      </w:pPr>
      <w:r>
        <w:rPr>
          <w:rStyle w:val="6"/>
          <w:rFonts w:hint="eastAsia" w:ascii="微软雅黑" w:hAnsi="微软雅黑" w:eastAsia="微软雅黑" w:cs="微软雅黑"/>
          <w:sz w:val="28"/>
          <w:szCs w:val="28"/>
          <w:lang w:val="en-US" w:eastAsia="zh-CN"/>
        </w:rPr>
        <w:t>6、</w:t>
      </w:r>
      <w:r>
        <w:rPr>
          <w:rStyle w:val="6"/>
          <w:rFonts w:hint="eastAsia" w:ascii="微软雅黑" w:hAnsi="微软雅黑" w:eastAsia="微软雅黑" w:cs="微软雅黑"/>
          <w:sz w:val="28"/>
          <w:szCs w:val="28"/>
        </w:rPr>
        <w:t>电机必须提供煤矿矿用产品安全标志证书、生产许可证、防爆证等煤矿所需证件。</w:t>
      </w:r>
    </w:p>
    <w:p>
      <w:pPr>
        <w:pStyle w:val="5"/>
        <w:spacing w:line="440" w:lineRule="exact"/>
        <w:ind w:left="0" w:leftChars="0" w:firstLine="501" w:firstLineChars="179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7、</w:t>
      </w:r>
      <w:r>
        <w:rPr>
          <w:rFonts w:hint="eastAsia" w:ascii="微软雅黑" w:hAnsi="微软雅黑" w:eastAsia="微软雅黑" w:cs="微软雅黑"/>
          <w:sz w:val="28"/>
          <w:szCs w:val="28"/>
        </w:rPr>
        <w:t>在明显位置装有耐腐蚀材料制作的产品金属铭牌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铭牌至少包括以下内容：电动机名称及型号、主要技术性能参数、制造厂名称、产品制造编号和出厂日期等。</w:t>
      </w:r>
    </w:p>
    <w:p>
      <w:pPr>
        <w:pStyle w:val="5"/>
        <w:spacing w:line="440" w:lineRule="exact"/>
        <w:ind w:left="0" w:leftChars="0" w:firstLine="0" w:firstLineChars="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四、其它要求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排水设备订货后，供方向需方提供的资料和图纸明细如下：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——水泵性能参数:型号、流量、扬程、效率、转速、自重、性能曲线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图；</w:t>
      </w:r>
    </w:p>
    <w:p>
      <w:pPr>
        <w:snapToGrid w:val="0"/>
        <w:spacing w:line="360" w:lineRule="auto"/>
        <w:ind w:firstLine="560" w:firstLineChars="200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水泵泵体及各部件材质报告清单、轴承提供进口资料清单；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——水泵外形及安装关系图；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——配套电动机外形及安装关系图；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——水泵进出口法兰直径、相对关系、连接尺寸；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——水泵煤安证、出厂试验报告、检验合格证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；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——电机煤安证、防爆证、出厂试验报告、检验合格证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及电机自重；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——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随机专用工具一套。</w:t>
      </w:r>
    </w:p>
    <w:p>
      <w:pPr>
        <w:numPr>
          <w:ilvl w:val="0"/>
          <w:numId w:val="0"/>
        </w:numPr>
        <w:snapToGrid w:val="0"/>
        <w:spacing w:line="360" w:lineRule="auto"/>
        <w:ind w:leftChars="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五、质量保证及售后服务</w:t>
      </w:r>
    </w:p>
    <w:p>
      <w:pPr>
        <w:snapToGrid w:val="0"/>
        <w:spacing w:line="360" w:lineRule="auto"/>
        <w:ind w:firstLine="560" w:firstLineChars="200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8"/>
          <w:szCs w:val="28"/>
        </w:rPr>
        <w:t>质保期为设备安装调试验收合格后12个月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；轴承以调试验收合格后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10万小时质保。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8"/>
          <w:szCs w:val="28"/>
        </w:rPr>
        <w:t>设备具备安装条件后，采购方提前一周通知供货商，供货商接到通知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后</w:t>
      </w:r>
      <w:r>
        <w:rPr>
          <w:rFonts w:hint="eastAsia" w:ascii="微软雅黑" w:hAnsi="微软雅黑" w:eastAsia="微软雅黑" w:cs="微软雅黑"/>
          <w:sz w:val="28"/>
          <w:szCs w:val="28"/>
        </w:rPr>
        <w:t>派人赴现场免费技术指导安装、调试，负责解决安装、调试过程中出现的问题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，直至水泵连续运转正常止。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3、人员培训，</w:t>
      </w:r>
      <w:r>
        <w:rPr>
          <w:rFonts w:hint="eastAsia" w:ascii="微软雅黑" w:hAnsi="微软雅黑" w:eastAsia="微软雅黑" w:cs="微软雅黑"/>
          <w:sz w:val="28"/>
          <w:szCs w:val="28"/>
        </w:rPr>
        <w:t>供方应按需方要求免费培训操作及维修人员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，并</w:t>
      </w:r>
      <w:r>
        <w:rPr>
          <w:rFonts w:hint="eastAsia" w:ascii="微软雅黑" w:hAnsi="微软雅黑" w:eastAsia="微软雅黑" w:cs="微软雅黑"/>
          <w:sz w:val="28"/>
          <w:szCs w:val="28"/>
        </w:rPr>
        <w:t>提供售后服务承诺具体内容。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snapToGrid w:val="0"/>
        <w:spacing w:line="360" w:lineRule="auto"/>
        <w:ind w:firstLine="3920" w:firstLineChars="140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snapToGrid w:val="0"/>
        <w:spacing w:line="360" w:lineRule="auto"/>
        <w:ind w:firstLine="3920" w:firstLineChars="140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snapToGrid w:val="0"/>
        <w:spacing w:line="360" w:lineRule="auto"/>
        <w:ind w:firstLine="3920" w:firstLineChars="1400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东博煤矿机电部</w:t>
      </w:r>
    </w:p>
    <w:p>
      <w:pPr>
        <w:snapToGrid w:val="0"/>
        <w:spacing w:line="360" w:lineRule="auto"/>
        <w:ind w:firstLine="560" w:firstLineChars="200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                     2021年9月9日</w:t>
      </w:r>
      <w:bookmarkStart w:id="0" w:name="_GoBack"/>
      <w:bookmarkEnd w:id="0"/>
    </w:p>
    <w:p>
      <w:pPr>
        <w:snapToGrid w:val="0"/>
        <w:spacing w:line="360" w:lineRule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adjustRightInd w:val="0"/>
        <w:spacing w:line="440" w:lineRule="exact"/>
        <w:ind w:firstLine="480" w:firstLineChars="200"/>
        <w:contextualSpacing/>
        <w:rPr>
          <w:snapToGrid w:val="0"/>
          <w:kern w:val="0"/>
          <w:sz w:val="24"/>
          <w:szCs w:val="20"/>
        </w:rPr>
      </w:pPr>
    </w:p>
    <w:p>
      <w:pPr>
        <w:adjustRightInd w:val="0"/>
        <w:spacing w:line="440" w:lineRule="exact"/>
        <w:ind w:firstLine="480" w:firstLineChars="200"/>
        <w:contextualSpacing/>
        <w:rPr>
          <w:snapToGrid w:val="0"/>
          <w:kern w:val="0"/>
          <w:sz w:val="24"/>
          <w:szCs w:val="20"/>
        </w:rPr>
      </w:pPr>
    </w:p>
    <w:p>
      <w:pPr>
        <w:adjustRightInd w:val="0"/>
        <w:spacing w:line="440" w:lineRule="exact"/>
        <w:ind w:firstLine="480" w:firstLineChars="200"/>
        <w:contextualSpacing/>
        <w:rPr>
          <w:snapToGrid w:val="0"/>
          <w:kern w:val="0"/>
          <w:sz w:val="24"/>
          <w:szCs w:val="20"/>
        </w:rPr>
      </w:pPr>
    </w:p>
    <w:p>
      <w:pPr>
        <w:adjustRightInd w:val="0"/>
        <w:spacing w:line="440" w:lineRule="exact"/>
        <w:ind w:firstLine="480" w:firstLineChars="200"/>
        <w:contextualSpacing/>
        <w:rPr>
          <w:rFonts w:hint="eastAsia"/>
          <w:snapToGrid w:val="0"/>
          <w:kern w:val="0"/>
          <w:sz w:val="24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FFDCC2"/>
    <w:multiLevelType w:val="singleLevel"/>
    <w:tmpl w:val="67FFDC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89C3F0B"/>
    <w:multiLevelType w:val="multilevel"/>
    <w:tmpl w:val="789C3F0B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F1905"/>
    <w:rsid w:val="00982D5B"/>
    <w:rsid w:val="00AE765C"/>
    <w:rsid w:val="057D7418"/>
    <w:rsid w:val="07CB5851"/>
    <w:rsid w:val="081377DD"/>
    <w:rsid w:val="1285636F"/>
    <w:rsid w:val="129141A3"/>
    <w:rsid w:val="154667EB"/>
    <w:rsid w:val="15772865"/>
    <w:rsid w:val="17336774"/>
    <w:rsid w:val="1B8E3578"/>
    <w:rsid w:val="1BF534A1"/>
    <w:rsid w:val="1C056C90"/>
    <w:rsid w:val="1D3D40B9"/>
    <w:rsid w:val="1D964CFB"/>
    <w:rsid w:val="1DDE5A5D"/>
    <w:rsid w:val="1E1D5AD7"/>
    <w:rsid w:val="1E670073"/>
    <w:rsid w:val="1E9B5C4D"/>
    <w:rsid w:val="1EC401D4"/>
    <w:rsid w:val="1EE534EA"/>
    <w:rsid w:val="1F774CA8"/>
    <w:rsid w:val="22F7516B"/>
    <w:rsid w:val="234F1905"/>
    <w:rsid w:val="24A55F24"/>
    <w:rsid w:val="28E5007C"/>
    <w:rsid w:val="28EC454B"/>
    <w:rsid w:val="2B0C66A6"/>
    <w:rsid w:val="2D0307B8"/>
    <w:rsid w:val="2D6471AF"/>
    <w:rsid w:val="2D9A0CD9"/>
    <w:rsid w:val="2DDE643D"/>
    <w:rsid w:val="2E5034F9"/>
    <w:rsid w:val="324B0321"/>
    <w:rsid w:val="338665C9"/>
    <w:rsid w:val="33A227A0"/>
    <w:rsid w:val="354350D1"/>
    <w:rsid w:val="37033A39"/>
    <w:rsid w:val="37743B26"/>
    <w:rsid w:val="3AB6589D"/>
    <w:rsid w:val="3ACD60CF"/>
    <w:rsid w:val="3C5D06B5"/>
    <w:rsid w:val="3D7A560A"/>
    <w:rsid w:val="3E5F4E42"/>
    <w:rsid w:val="3E696268"/>
    <w:rsid w:val="412E0031"/>
    <w:rsid w:val="424C1447"/>
    <w:rsid w:val="435F7B29"/>
    <w:rsid w:val="469F5B08"/>
    <w:rsid w:val="4798267A"/>
    <w:rsid w:val="4B6A1B95"/>
    <w:rsid w:val="4B9C1A9B"/>
    <w:rsid w:val="4BB6791D"/>
    <w:rsid w:val="4C287158"/>
    <w:rsid w:val="4C730892"/>
    <w:rsid w:val="4E215D4E"/>
    <w:rsid w:val="4FF91AB0"/>
    <w:rsid w:val="53D83B55"/>
    <w:rsid w:val="554E4EEC"/>
    <w:rsid w:val="57481425"/>
    <w:rsid w:val="579420BD"/>
    <w:rsid w:val="58845E3B"/>
    <w:rsid w:val="5A30468E"/>
    <w:rsid w:val="5AA52BC1"/>
    <w:rsid w:val="5B9534E1"/>
    <w:rsid w:val="5E7F36FE"/>
    <w:rsid w:val="5EBD6F08"/>
    <w:rsid w:val="63146949"/>
    <w:rsid w:val="639118D7"/>
    <w:rsid w:val="670755EE"/>
    <w:rsid w:val="6C854BE6"/>
    <w:rsid w:val="6C9C53EC"/>
    <w:rsid w:val="6CDB1C58"/>
    <w:rsid w:val="6EA07E53"/>
    <w:rsid w:val="7108248F"/>
    <w:rsid w:val="71E548D3"/>
    <w:rsid w:val="722027E1"/>
    <w:rsid w:val="72237BFA"/>
    <w:rsid w:val="75187CBA"/>
    <w:rsid w:val="77496B26"/>
    <w:rsid w:val="78981A09"/>
    <w:rsid w:val="7C7F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customStyle="1" w:styleId="5">
    <w:name w:val="BodyTextIndent"/>
    <w:basedOn w:val="1"/>
    <w:qFormat/>
    <w:uiPriority w:val="0"/>
    <w:pPr>
      <w:widowControl/>
      <w:spacing w:after="120"/>
      <w:ind w:left="420" w:leftChars="200"/>
      <w:textAlignment w:val="baseline"/>
    </w:pPr>
  </w:style>
  <w:style w:type="character" w:customStyle="1" w:styleId="6">
    <w:name w:val="NormalCharacter"/>
    <w:link w:val="7"/>
    <w:qFormat/>
    <w:uiPriority w:val="0"/>
    <w:rPr>
      <w:szCs w:val="20"/>
    </w:rPr>
  </w:style>
  <w:style w:type="paragraph" w:customStyle="1" w:styleId="7">
    <w:name w:val="UserStyle_9"/>
    <w:basedOn w:val="1"/>
    <w:link w:val="6"/>
    <w:qFormat/>
    <w:uiPriority w:val="0"/>
    <w:pPr>
      <w:widowControl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2021-08-27T01:48:00Z</dcterms:created>
  <dc:creator>Administrator</dc:creator>
  <cp:lastModifiedBy>Administrator</cp:lastModifiedBy>
  <dcterms:modified xsi:type="dcterms:W3CDTF">2021-09-23T08:32:17Z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308117231F024B329ABB3335E36DF965</vt:lpwstr>
  </property>
</Properties>
</file>